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4480" w14:textId="77777777" w:rsidR="00FC2881" w:rsidRPr="00C3795C" w:rsidRDefault="00984E15" w:rsidP="008A56B3">
      <w:pPr>
        <w:pStyle w:val="AHPRADocumenttitle"/>
      </w:pPr>
      <w:r>
        <w:rPr>
          <w:noProof/>
          <w:lang w:val="en-US"/>
        </w:rPr>
        <w:t>Communiqué</w:t>
      </w:r>
    </w:p>
    <w:p w14:paraId="2AA5D0CC" w14:textId="77777777" w:rsidR="004D0ADC" w:rsidRDefault="00865C62">
      <w:pPr>
        <w:spacing w:before="0" w:after="0"/>
      </w:pPr>
      <w:r>
        <w:rPr>
          <w:noProof/>
          <w:lang w:val="en-US"/>
        </w:rPr>
        <mc:AlternateContent>
          <mc:Choice Requires="wps">
            <w:drawing>
              <wp:anchor distT="4294967291" distB="4294967291" distL="114300" distR="114300" simplePos="0" relativeHeight="251657728" behindDoc="0" locked="0" layoutInCell="1" allowOverlap="1" wp14:anchorId="35BF4133" wp14:editId="053503D8">
                <wp:simplePos x="0" y="0"/>
                <wp:positionH relativeFrom="column">
                  <wp:posOffset>-799465</wp:posOffset>
                </wp:positionH>
                <wp:positionV relativeFrom="paragraph">
                  <wp:posOffset>25399</wp:posOffset>
                </wp:positionV>
                <wp:extent cx="2036445" cy="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5ADA66D" id="_x0000_t32" coordsize="21600,21600" o:spt="32" o:oned="t" path="m,l21600,21600e" filled="f">
                <v:path arrowok="t" fillok="f" o:connecttype="none"/>
                <o:lock v:ext="edit" shapetype="t"/>
              </v:shapetype>
              <v:shape id="AutoShape 3" o:spid="_x0000_s1026" type="#_x0000_t32" style="position:absolute;margin-left:-62.95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"/>
            </w:pict>
          </mc:Fallback>
        </mc:AlternateContent>
      </w:r>
    </w:p>
    <w:p w14:paraId="3647E3F9" w14:textId="1EE67F7E" w:rsidR="00622247" w:rsidRDefault="00CF70A2" w:rsidP="00984E15">
      <w:pPr>
        <w:pStyle w:val="AHPRADocumentsubheading"/>
      </w:pPr>
      <w:r>
        <w:t>May</w:t>
      </w:r>
      <w:r w:rsidR="00492A99">
        <w:t xml:space="preserve"> </w:t>
      </w:r>
      <w:r w:rsidR="00DF062D">
        <w:t>2019</w:t>
      </w:r>
      <w:r w:rsidR="00984E15" w:rsidRPr="00984E15">
        <w:t xml:space="preserve"> meeting of the Osteopathy Board of Australia</w:t>
      </w:r>
    </w:p>
    <w:p w14:paraId="2687DDCE" w14:textId="77777777" w:rsidR="00E5401E" w:rsidRDefault="0051051F" w:rsidP="005112C8">
      <w:pPr>
        <w:pStyle w:val="AHPRABody0"/>
      </w:pPr>
      <w:r>
        <w:t xml:space="preserve">The </w:t>
      </w:r>
      <w:r w:rsidR="00CF70A2">
        <w:t>112</w:t>
      </w:r>
      <w:r w:rsidR="00DF062D">
        <w:rPr>
          <w:vertAlign w:val="superscript"/>
        </w:rPr>
        <w:t>th</w:t>
      </w:r>
      <w:r w:rsidR="00DF062D">
        <w:t xml:space="preserve"> </w:t>
      </w:r>
      <w:r w:rsidR="00F47B7E" w:rsidRPr="00F47B7E">
        <w:t>meeting of the Osteopathy Board of Australia (the Board) was held on</w:t>
      </w:r>
      <w:r w:rsidR="00E4095B">
        <w:t xml:space="preserve"> </w:t>
      </w:r>
      <w:r w:rsidR="00CF70A2">
        <w:rPr>
          <w:lang w:val="en-GB"/>
        </w:rPr>
        <w:t>31</w:t>
      </w:r>
      <w:r w:rsidR="00932B8B">
        <w:rPr>
          <w:lang w:val="en-GB"/>
        </w:rPr>
        <w:t xml:space="preserve"> May</w:t>
      </w:r>
      <w:r w:rsidR="00DF062D">
        <w:rPr>
          <w:lang w:val="en-GB"/>
        </w:rPr>
        <w:t xml:space="preserve"> 2019</w:t>
      </w:r>
      <w:r w:rsidR="00F47B7E" w:rsidRPr="00F47B7E">
        <w:rPr>
          <w:lang w:val="en-GB"/>
        </w:rPr>
        <w:t xml:space="preserve"> in </w:t>
      </w:r>
      <w:r w:rsidR="00CF70A2">
        <w:rPr>
          <w:lang w:val="en-GB"/>
        </w:rPr>
        <w:t>Canberra</w:t>
      </w:r>
      <w:r w:rsidR="00F47B7E" w:rsidRPr="00F47B7E">
        <w:t>.</w:t>
      </w:r>
    </w:p>
    <w:p w14:paraId="68C0EBEF" w14:textId="77777777" w:rsidR="00E5401E" w:rsidRDefault="00E5401E" w:rsidP="005112C8">
      <w:pPr>
        <w:pStyle w:val="AHPRABody0"/>
      </w:pPr>
    </w:p>
    <w:p w14:paraId="47F2B4A6" w14:textId="7EB59A17" w:rsidR="00E4095B" w:rsidRDefault="002705CF" w:rsidP="005112C8">
      <w:pPr>
        <w:pStyle w:val="AHPRABody0"/>
      </w:pPr>
      <w:r w:rsidRPr="00D11268">
        <w:t xml:space="preserve">The Registration and Notification Committee (RNC) </w:t>
      </w:r>
      <w:r w:rsidR="00E5401E">
        <w:t xml:space="preserve">also </w:t>
      </w:r>
      <w:r>
        <w:t xml:space="preserve">met </w:t>
      </w:r>
      <w:r w:rsidRPr="00D11268">
        <w:t>on the</w:t>
      </w:r>
      <w:r w:rsidR="00CF70A2">
        <w:t xml:space="preserve"> same</w:t>
      </w:r>
      <w:r w:rsidRPr="00D11268">
        <w:t xml:space="preserve"> </w:t>
      </w:r>
      <w:r>
        <w:t xml:space="preserve">day </w:t>
      </w:r>
      <w:r w:rsidR="00CF70A2">
        <w:t>as</w:t>
      </w:r>
      <w:r w:rsidR="00671A68">
        <w:t xml:space="preserve"> </w:t>
      </w:r>
      <w:r>
        <w:t xml:space="preserve">the </w:t>
      </w:r>
      <w:r w:rsidR="00E5401E">
        <w:t xml:space="preserve">May </w:t>
      </w:r>
      <w:r>
        <w:t>Board meeting.</w:t>
      </w:r>
    </w:p>
    <w:p w14:paraId="4229F3D3" w14:textId="7FADEF73" w:rsidR="005112C8" w:rsidRDefault="005112C8">
      <w:pPr>
        <w:pStyle w:val="AHPRABody0"/>
      </w:pPr>
    </w:p>
    <w:p w14:paraId="33800CE5" w14:textId="5F6D4C99" w:rsidR="00E4095B" w:rsidRDefault="00F47B7E">
      <w:pPr>
        <w:pStyle w:val="AHPRABody0"/>
      </w:pPr>
      <w:r w:rsidRPr="00F47B7E">
        <w:t>The Board publishes this communiqué on our website and emails it to a broad range of stakeholders. At each meeting the Board considers a wide r</w:t>
      </w:r>
      <w:bookmarkStart w:id="0" w:name="_GoBack"/>
      <w:bookmarkEnd w:id="0"/>
      <w:r w:rsidRPr="00F47B7E">
        <w:t>ange of issues, many of which are routine and are not included in this communiqué.</w:t>
      </w:r>
    </w:p>
    <w:p w14:paraId="220F9CAF" w14:textId="1FE97EB8" w:rsidR="000D370F" w:rsidRDefault="00C4453E" w:rsidP="000D370F">
      <w:pPr>
        <w:pStyle w:val="AHPRASubheading"/>
      </w:pPr>
      <w:r>
        <w:t>R</w:t>
      </w:r>
      <w:r w:rsidR="000D370F">
        <w:t xml:space="preserve">egistrant engagement breakfast in Canberra </w:t>
      </w:r>
    </w:p>
    <w:p w14:paraId="7CFEE1B6" w14:textId="67786DFD" w:rsidR="0028469A" w:rsidRDefault="000D370F" w:rsidP="00A44B7F">
      <w:pPr>
        <w:pStyle w:val="AHPRABody0"/>
      </w:pPr>
      <w:r>
        <w:t xml:space="preserve">The Board </w:t>
      </w:r>
      <w:r w:rsidR="00B86FAF">
        <w:t>hosted</w:t>
      </w:r>
      <w:r>
        <w:t xml:space="preserve"> </w:t>
      </w:r>
      <w:r w:rsidR="00C4453E">
        <w:t>an</w:t>
      </w:r>
      <w:r>
        <w:t xml:space="preserve"> information sharing breakfast for </w:t>
      </w:r>
      <w:r w:rsidR="00C4453E">
        <w:t>osteopaths</w:t>
      </w:r>
      <w:r>
        <w:t xml:space="preserve"> </w:t>
      </w:r>
      <w:r w:rsidR="00C4453E">
        <w:t xml:space="preserve">at </w:t>
      </w:r>
      <w:r w:rsidR="00A44B7F">
        <w:t xml:space="preserve">the </w:t>
      </w:r>
      <w:r w:rsidR="00E5401E">
        <w:t>Australia</w:t>
      </w:r>
      <w:r w:rsidR="00A44B7F">
        <w:t>n</w:t>
      </w:r>
      <w:r w:rsidR="00E5401E">
        <w:t xml:space="preserve"> Health Practitioner Regulation Agency (AHPRA)’s </w:t>
      </w:r>
      <w:r w:rsidR="00C4453E">
        <w:t xml:space="preserve">ACT office on </w:t>
      </w:r>
      <w:r w:rsidR="00531C96">
        <w:t xml:space="preserve">Friday </w:t>
      </w:r>
      <w:r w:rsidR="00C4453E">
        <w:t xml:space="preserve">31 May. </w:t>
      </w:r>
      <w:r w:rsidR="0028469A">
        <w:t>The Board values the opportunity to engage with registrants and hear about the issues that are of most interest, including audit and mandatory reporting.</w:t>
      </w:r>
      <w:r>
        <w:t xml:space="preserve"> </w:t>
      </w:r>
    </w:p>
    <w:p w14:paraId="222394EC" w14:textId="2552007B" w:rsidR="0028469A" w:rsidRDefault="0028469A" w:rsidP="00A44B7F">
      <w:pPr>
        <w:pStyle w:val="AHPRASubheading"/>
      </w:pPr>
      <w:r>
        <w:t xml:space="preserve">Capabilities for </w:t>
      </w:r>
      <w:r w:rsidR="00E5401E">
        <w:t>o</w:t>
      </w:r>
      <w:r>
        <w:t xml:space="preserve">steopathic </w:t>
      </w:r>
      <w:r w:rsidR="00E5401E">
        <w:t>p</w:t>
      </w:r>
      <w:r>
        <w:t>ractice (2019)</w:t>
      </w:r>
    </w:p>
    <w:p w14:paraId="2286C5F5" w14:textId="7888F829" w:rsidR="00395920" w:rsidRDefault="0028469A" w:rsidP="000D370F">
      <w:pPr>
        <w:pStyle w:val="AHPRABody0"/>
      </w:pPr>
      <w:r>
        <w:t xml:space="preserve">This month the Board will publish the revised </w:t>
      </w:r>
      <w:r w:rsidRPr="0028469A">
        <w:rPr>
          <w:i/>
        </w:rPr>
        <w:t xml:space="preserve">Capabilities for </w:t>
      </w:r>
      <w:r w:rsidR="00E5401E">
        <w:rPr>
          <w:i/>
        </w:rPr>
        <w:t>o</w:t>
      </w:r>
      <w:r w:rsidRPr="0028469A">
        <w:rPr>
          <w:i/>
        </w:rPr>
        <w:t xml:space="preserve">steopathic </w:t>
      </w:r>
      <w:r w:rsidR="00E5401E">
        <w:rPr>
          <w:i/>
        </w:rPr>
        <w:t>p</w:t>
      </w:r>
      <w:r w:rsidRPr="0028469A">
        <w:rPr>
          <w:i/>
        </w:rPr>
        <w:t>ractice</w:t>
      </w:r>
      <w:r w:rsidR="00E5401E">
        <w:rPr>
          <w:i/>
        </w:rPr>
        <w:t xml:space="preserve"> </w:t>
      </w:r>
      <w:r w:rsidR="00E5401E" w:rsidRPr="00E5401E">
        <w:t>(the capabilities)</w:t>
      </w:r>
      <w:r>
        <w:t xml:space="preserve"> with a </w:t>
      </w:r>
      <w:r w:rsidR="00E5401E">
        <w:t xml:space="preserve">six-month </w:t>
      </w:r>
      <w:r>
        <w:t xml:space="preserve">transition period until the date of commencement on 1 December 2019. </w:t>
      </w:r>
    </w:p>
    <w:p w14:paraId="3860CD1E" w14:textId="77777777" w:rsidR="00395920" w:rsidRDefault="00395920" w:rsidP="00395920">
      <w:pPr>
        <w:pStyle w:val="AHPRABody0"/>
      </w:pPr>
    </w:p>
    <w:p w14:paraId="2EACD631" w14:textId="2D47D767" w:rsidR="00395920" w:rsidRDefault="00E5401E" w:rsidP="00395920">
      <w:pPr>
        <w:pStyle w:val="AHPRABody0"/>
      </w:pPr>
      <w:r>
        <w:t>The Board</w:t>
      </w:r>
      <w:r w:rsidR="0028469A">
        <w:t xml:space="preserve"> will</w:t>
      </w:r>
      <w:r>
        <w:t xml:space="preserve"> also</w:t>
      </w:r>
      <w:r w:rsidR="0028469A">
        <w:t xml:space="preserve"> be publishing </w:t>
      </w:r>
      <w:r>
        <w:t>supporting</w:t>
      </w:r>
      <w:r w:rsidR="0028469A">
        <w:t xml:space="preserve"> material in the form of FAQs and a short video to explain the use of </w:t>
      </w:r>
      <w:r>
        <w:t xml:space="preserve">the </w:t>
      </w:r>
      <w:r w:rsidR="0028469A">
        <w:t xml:space="preserve">capabilities (also referred to as competencies or professional standards in some other professions) across the accreditation and education sectors and by supervisors and individual practitioners. There will be </w:t>
      </w:r>
      <w:r w:rsidR="00395920">
        <w:t>a news item</w:t>
      </w:r>
      <w:r w:rsidR="0028469A">
        <w:t xml:space="preserve"> and social media this month to alert you </w:t>
      </w:r>
      <w:r>
        <w:t>of</w:t>
      </w:r>
      <w:r w:rsidR="0028469A">
        <w:t xml:space="preserve"> the publication.</w:t>
      </w:r>
      <w:r w:rsidR="00395920" w:rsidRPr="00395920">
        <w:t xml:space="preserve"> </w:t>
      </w:r>
    </w:p>
    <w:p w14:paraId="582E925F" w14:textId="77777777" w:rsidR="00395920" w:rsidRDefault="00395920" w:rsidP="00395920">
      <w:pPr>
        <w:pStyle w:val="AHPRABody0"/>
      </w:pPr>
    </w:p>
    <w:p w14:paraId="1C6F685A" w14:textId="440084FC" w:rsidR="0028469A" w:rsidRDefault="00395920" w:rsidP="000D370F">
      <w:pPr>
        <w:pStyle w:val="AHPRABody0"/>
      </w:pPr>
      <w:r>
        <w:t xml:space="preserve">The Board wishes to thank all the accreditation council, osteopathy stakeholders, the project team and many registrants who have been involved in the development of this important document for the profession.  </w:t>
      </w:r>
    </w:p>
    <w:p w14:paraId="5AC7BDD1" w14:textId="455B2BA8" w:rsidR="00395920" w:rsidRDefault="00395920" w:rsidP="00B75F45">
      <w:pPr>
        <w:pStyle w:val="AHPRASubheading"/>
        <w:rPr>
          <w:rFonts w:cs="Arial"/>
          <w:color w:val="auto"/>
        </w:rPr>
      </w:pPr>
      <w:r>
        <w:rPr>
          <w:lang w:eastAsia="en-AU"/>
        </w:rPr>
        <w:t>Audit in 2019</w:t>
      </w:r>
    </w:p>
    <w:p w14:paraId="3BC9E746" w14:textId="1290281D" w:rsidR="00395920" w:rsidRDefault="00395920" w:rsidP="00395920">
      <w:pPr>
        <w:rPr>
          <w:szCs w:val="20"/>
        </w:rPr>
      </w:pPr>
      <w:r>
        <w:rPr>
          <w:szCs w:val="20"/>
        </w:rPr>
        <w:t xml:space="preserve">The Board will soon commence an audit of randomly selected osteopaths. Please make sure your address is up to date as letters will be sent </w:t>
      </w:r>
      <w:r w:rsidR="00B72EAE">
        <w:rPr>
          <w:szCs w:val="20"/>
        </w:rPr>
        <w:t>by mail to those selected for audit</w:t>
      </w:r>
      <w:r>
        <w:rPr>
          <w:szCs w:val="20"/>
        </w:rPr>
        <w:t>.</w:t>
      </w:r>
    </w:p>
    <w:p w14:paraId="4BBA34EE" w14:textId="77777777" w:rsidR="00395920" w:rsidRDefault="00395920" w:rsidP="00395920">
      <w:r>
        <w:t xml:space="preserve">The </w:t>
      </w:r>
      <w:hyperlink r:id="rId8" w:history="1">
        <w:r>
          <w:rPr>
            <w:rStyle w:val="Hyperlink"/>
          </w:rPr>
          <w:t>audit page</w:t>
        </w:r>
      </w:hyperlink>
      <w:r>
        <w:t xml:space="preserve"> on the Board’s website has been updated with additional information, including:</w:t>
      </w:r>
    </w:p>
    <w:p w14:paraId="418D79C2" w14:textId="583141EA" w:rsidR="00395920" w:rsidRDefault="00395920" w:rsidP="00A44B7F">
      <w:pPr>
        <w:pStyle w:val="Bulletedlist"/>
        <w:numPr>
          <w:ilvl w:val="0"/>
          <w:numId w:val="33"/>
        </w:numPr>
        <w:ind w:left="369" w:hanging="369"/>
      </w:pPr>
      <w:r>
        <w:t>tips to help osteopaths prepare for the audit, and</w:t>
      </w:r>
    </w:p>
    <w:p w14:paraId="6B84E582" w14:textId="77777777" w:rsidR="00395920" w:rsidRDefault="00395920" w:rsidP="00A44B7F">
      <w:pPr>
        <w:pStyle w:val="Bulletedlist"/>
        <w:numPr>
          <w:ilvl w:val="0"/>
          <w:numId w:val="33"/>
        </w:numPr>
        <w:ind w:left="369" w:hanging="369"/>
      </w:pPr>
      <w:r>
        <w:t>templates which can be used for:</w:t>
      </w:r>
    </w:p>
    <w:p w14:paraId="6465AADA" w14:textId="60447E2C" w:rsidR="00395920" w:rsidRDefault="00395920" w:rsidP="00A44B7F">
      <w:pPr>
        <w:pStyle w:val="Bulletedlist"/>
        <w:numPr>
          <w:ilvl w:val="1"/>
          <w:numId w:val="35"/>
        </w:numPr>
        <w:ind w:left="738" w:hanging="369"/>
      </w:pPr>
      <w:r>
        <w:t xml:space="preserve">planning, reviewing and evaluating your continuing professional development </w:t>
      </w:r>
      <w:r w:rsidR="00E5401E">
        <w:t xml:space="preserve">(CPD) </w:t>
      </w:r>
      <w:r>
        <w:t>activities</w:t>
      </w:r>
    </w:p>
    <w:p w14:paraId="2B586C80" w14:textId="77777777" w:rsidR="00395920" w:rsidRDefault="00395920" w:rsidP="00A44B7F">
      <w:pPr>
        <w:pStyle w:val="Bulletedlist"/>
        <w:numPr>
          <w:ilvl w:val="1"/>
          <w:numId w:val="35"/>
        </w:numPr>
        <w:ind w:left="738" w:hanging="369"/>
      </w:pPr>
      <w:r>
        <w:t>statement of professional indemnity insurance from your employer, and</w:t>
      </w:r>
    </w:p>
    <w:p w14:paraId="4A42190A" w14:textId="3E334F12" w:rsidR="00B75F45" w:rsidRDefault="00395920" w:rsidP="00A44B7F">
      <w:pPr>
        <w:pStyle w:val="Bulletedlist"/>
        <w:numPr>
          <w:ilvl w:val="1"/>
          <w:numId w:val="35"/>
        </w:numPr>
        <w:ind w:left="738" w:hanging="369"/>
      </w:pPr>
      <w:r>
        <w:t>statement of service or curriculum vitae for recency of practice.</w:t>
      </w:r>
    </w:p>
    <w:p w14:paraId="30F298DF" w14:textId="77777777" w:rsidR="00B75F45" w:rsidRDefault="00B75F45" w:rsidP="00B75F45">
      <w:pPr>
        <w:pStyle w:val="AHPRASubheading"/>
      </w:pPr>
      <w:r>
        <w:t>Company fined $30,600 for unlawful advertising</w:t>
      </w:r>
    </w:p>
    <w:p w14:paraId="65DF6519" w14:textId="77777777" w:rsidR="00B75F45" w:rsidRDefault="00B75F45" w:rsidP="00B75F45">
      <w:pPr>
        <w:pStyle w:val="AHPRAbody"/>
        <w:rPr>
          <w:szCs w:val="20"/>
        </w:rPr>
      </w:pPr>
      <w:r>
        <w:rPr>
          <w:szCs w:val="20"/>
        </w:rPr>
        <w:t xml:space="preserve">Practitioners are reminded to be truthful in advertising their services after a Sydney company was convicted of 10 charges and fined $30,600 for unlawful advertising. </w:t>
      </w:r>
    </w:p>
    <w:p w14:paraId="2CEF66B3" w14:textId="77777777" w:rsidR="00B75F45" w:rsidRDefault="00B75F45" w:rsidP="00B75F45">
      <w:pPr>
        <w:pStyle w:val="AHPRAbody"/>
        <w:rPr>
          <w:szCs w:val="20"/>
        </w:rPr>
      </w:pPr>
      <w:r>
        <w:rPr>
          <w:szCs w:val="20"/>
        </w:rPr>
        <w:t>The Running Clinic (Australia) Pty Ltd (formerly trading as the Heel Clinic), was convicted and fined for advertising offences under the National Law. It was fined $30,600 and ordered to pay AHPRA’s costs of $8,000.</w:t>
      </w:r>
    </w:p>
    <w:p w14:paraId="7A1A42B3" w14:textId="77777777" w:rsidR="00B75F45" w:rsidRDefault="00B75F45" w:rsidP="00B75F45">
      <w:pPr>
        <w:pStyle w:val="AHPRAbody"/>
        <w:rPr>
          <w:szCs w:val="20"/>
          <w:lang w:val="en-GB"/>
        </w:rPr>
      </w:pPr>
      <w:r>
        <w:rPr>
          <w:szCs w:val="20"/>
          <w:lang w:val="en-GB"/>
        </w:rPr>
        <w:t>AHPRA filed 10 charges against the company. It alleged that advertising claims on The Running Clinic’s websites and Facebook account contained false, misleading and deceptive claims about podiatry services that were likely to create an unreasonable expectation of beneficial treatment.</w:t>
      </w:r>
    </w:p>
    <w:p w14:paraId="60AD2863" w14:textId="77777777" w:rsidR="00B75F45" w:rsidRDefault="00B75F45" w:rsidP="00B75F45">
      <w:pPr>
        <w:pStyle w:val="AHPRAbody"/>
        <w:rPr>
          <w:szCs w:val="20"/>
          <w:lang w:val="en-GB"/>
        </w:rPr>
      </w:pPr>
      <w:r>
        <w:rPr>
          <w:szCs w:val="20"/>
          <w:lang w:val="en-GB"/>
        </w:rPr>
        <w:lastRenderedPageBreak/>
        <w:t>AHPRA first raised the unlawful advertising with the company in 2015 and, while minor changes were made, it failed to significantly rectify the issues.</w:t>
      </w:r>
    </w:p>
    <w:p w14:paraId="2890B5EA" w14:textId="77777777" w:rsidR="00B75F45" w:rsidRDefault="00B75F45" w:rsidP="00B75F45">
      <w:pPr>
        <w:pStyle w:val="AHPRAbody"/>
        <w:rPr>
          <w:szCs w:val="20"/>
          <w:lang w:val="en-GB"/>
        </w:rPr>
      </w:pPr>
      <w:r>
        <w:rPr>
          <w:szCs w:val="20"/>
          <w:lang w:val="en-GB"/>
        </w:rPr>
        <w:t>AHPRA CEO Martin Fletcher welcomed the court outcome.</w:t>
      </w:r>
    </w:p>
    <w:p w14:paraId="4D1B745B" w14:textId="77777777" w:rsidR="00B75F45" w:rsidRDefault="00B75F45" w:rsidP="00B75F45">
      <w:pPr>
        <w:pStyle w:val="AHPRAbody"/>
        <w:rPr>
          <w:szCs w:val="20"/>
          <w:lang w:val="en-GB"/>
        </w:rPr>
      </w:pPr>
      <w:r>
        <w:rPr>
          <w:szCs w:val="20"/>
          <w:lang w:val="en-GB"/>
        </w:rPr>
        <w:t>‘Consumers have a right to expect that all registered health practitioners are truthful when advertising their services. This court outcome sends a clear message to anyone advertising a regulated health service that AHPRA will act if they break the law.’ he said</w:t>
      </w:r>
    </w:p>
    <w:p w14:paraId="3E87DC4B" w14:textId="6582C41A" w:rsidR="00B75F45" w:rsidRDefault="00B75F45" w:rsidP="00B75F45">
      <w:pPr>
        <w:pStyle w:val="AHPRAbody"/>
        <w:rPr>
          <w:szCs w:val="20"/>
        </w:rPr>
      </w:pPr>
      <w:r>
        <w:rPr>
          <w:szCs w:val="20"/>
        </w:rPr>
        <w:t xml:space="preserve">Information about your advertising obligations is available on the Board’s </w:t>
      </w:r>
      <w:hyperlink r:id="rId9" w:history="1">
        <w:r>
          <w:rPr>
            <w:rStyle w:val="Hyperlink"/>
          </w:rPr>
          <w:t>website</w:t>
        </w:r>
      </w:hyperlink>
      <w:r w:rsidR="000E7326">
        <w:rPr>
          <w:szCs w:val="20"/>
        </w:rPr>
        <w:t>.</w:t>
      </w:r>
    </w:p>
    <w:p w14:paraId="1D055286" w14:textId="77777777" w:rsidR="00B75F45" w:rsidRDefault="00B75F45" w:rsidP="00B75F45">
      <w:pPr>
        <w:pStyle w:val="AHPRASubhead"/>
        <w:rPr>
          <w:rFonts w:cs="Times New Roman"/>
        </w:rPr>
      </w:pPr>
      <w:r>
        <w:t xml:space="preserve">Practitioners’ responsibility to support public health programs </w:t>
      </w:r>
    </w:p>
    <w:p w14:paraId="703B9E71" w14:textId="77777777" w:rsidR="00B75F45" w:rsidRDefault="00B75F45" w:rsidP="00B75F45">
      <w:pPr>
        <w:pStyle w:val="AHPRAbody"/>
      </w:pPr>
      <w:r>
        <w:t>Australia’s health regulators have reminded health practitioners about their responsibility to support public health programs, including vaccination.</w:t>
      </w:r>
    </w:p>
    <w:p w14:paraId="3A3A44FF" w14:textId="77777777" w:rsidR="00B75F45" w:rsidRDefault="00B75F45" w:rsidP="00B75F45">
      <w:pPr>
        <w:pStyle w:val="AHPRAbody"/>
      </w:pPr>
      <w:r>
        <w:t>Regulators have spoken out to support public safety, given mounting concerns about a five-year high in measles cases and an early spike in flu cases this year.</w:t>
      </w:r>
    </w:p>
    <w:p w14:paraId="6875AC7F" w14:textId="77777777" w:rsidR="00B75F45" w:rsidRDefault="00B75F45" w:rsidP="00B75F45">
      <w:pPr>
        <w:pStyle w:val="AHPRAbody"/>
      </w:pPr>
      <w:r>
        <w:t>AHPRA and the National Boards for 16 professions have urged more than 740,000 registered health practitioners to take seriously their responsibilities for public health, including by helping patients to be protected from preventable illnesses.</w:t>
      </w:r>
    </w:p>
    <w:p w14:paraId="05677761" w14:textId="77777777" w:rsidR="00B75F45" w:rsidRDefault="00B75F45" w:rsidP="00B75F45">
      <w:pPr>
        <w:pStyle w:val="AHPRAbody"/>
      </w:pPr>
      <w:r>
        <w:t xml:space="preserve">AHPRA CEO Martin Fletcher reminded practitioners that supporting public health programs, including vaccination and </w:t>
      </w:r>
      <w:proofErr w:type="spellStart"/>
      <w:r>
        <w:t>immunisation</w:t>
      </w:r>
      <w:proofErr w:type="spellEnd"/>
      <w:r>
        <w:t>, and not promoting anti-vaccination views were regulatory responsibilities.</w:t>
      </w:r>
    </w:p>
    <w:p w14:paraId="6D5B85A6" w14:textId="77777777" w:rsidR="00B75F45" w:rsidRDefault="00B75F45" w:rsidP="00B75F45">
      <w:pPr>
        <w:pStyle w:val="AHPRAbody"/>
      </w:pPr>
      <w:r>
        <w:t xml:space="preserve">‘Registered health practitioners have a regulatory responsibility to support patients to understand the evidence-based information available,’ </w:t>
      </w:r>
      <w:proofErr w:type="spellStart"/>
      <w:r>
        <w:t>Mr</w:t>
      </w:r>
      <w:proofErr w:type="spellEnd"/>
      <w:r>
        <w:t xml:space="preserve"> Fletcher said.</w:t>
      </w:r>
    </w:p>
    <w:p w14:paraId="6B232118" w14:textId="77777777" w:rsidR="00B75F45" w:rsidRDefault="00B75F45" w:rsidP="00B75F45">
      <w:pPr>
        <w:pStyle w:val="AHPRAbody"/>
      </w:pPr>
      <w:r>
        <w:t>National Boards set codes, standards and guidelines, including about protecting and promoting the health of individuals and the community, which they expect registered health practitioners to meet.</w:t>
      </w:r>
    </w:p>
    <w:p w14:paraId="3DB99639" w14:textId="77777777" w:rsidR="00B75F45" w:rsidRDefault="00B75F45" w:rsidP="00B75F45">
      <w:pPr>
        <w:pStyle w:val="AHPRAbody"/>
      </w:pPr>
      <w:r>
        <w:t>‘Practitioners are of course entitled to hold personal beliefs, but they must ensure that they do not contradict or counter public health campaigns, including about the efficacy or safety of public health initiatives,’ he said.</w:t>
      </w:r>
    </w:p>
    <w:p w14:paraId="13C4CFF8" w14:textId="77777777" w:rsidR="00B75F45" w:rsidRDefault="00B75F45" w:rsidP="00B75F45">
      <w:pPr>
        <w:pStyle w:val="AHPRAbody"/>
      </w:pPr>
      <w:r>
        <w:t xml:space="preserve">If practitioners do not comply and meet the professional standards set by their National Board, regulators can and do </w:t>
      </w:r>
      <w:proofErr w:type="gramStart"/>
      <w:r>
        <w:t>take action</w:t>
      </w:r>
      <w:proofErr w:type="gramEnd"/>
      <w:r>
        <w:t>.</w:t>
      </w:r>
    </w:p>
    <w:p w14:paraId="006B069C" w14:textId="77777777" w:rsidR="00B75F45" w:rsidRDefault="00B75F45" w:rsidP="00B75F45">
      <w:pPr>
        <w:pStyle w:val="AHPRAbody"/>
      </w:pPr>
      <w:r>
        <w:t xml:space="preserve">National Boards and AHPRA have </w:t>
      </w:r>
      <w:proofErr w:type="gramStart"/>
      <w:r>
        <w:t>taken action</w:t>
      </w:r>
      <w:proofErr w:type="gramEnd"/>
      <w:r>
        <w:t xml:space="preserve"> to manage risk to the public, in response to a number of concerns raised about practitioners (including medical practitioners, nurses and chiropractors) who have advocated against evidence-based vaccination programs. This has included restricting practitioners’ practice pending further investigation, when there was a serious risk to the public.</w:t>
      </w:r>
    </w:p>
    <w:p w14:paraId="24E933EA" w14:textId="74C40C0E" w:rsidR="00B75F45" w:rsidRDefault="009766B4" w:rsidP="00B75F45">
      <w:pPr>
        <w:rPr>
          <w:szCs w:val="20"/>
        </w:rPr>
      </w:pPr>
      <w:r>
        <w:rPr>
          <w:szCs w:val="20"/>
        </w:rPr>
        <w:t>Osteopaths</w:t>
      </w:r>
      <w:r w:rsidR="00B75F45">
        <w:rPr>
          <w:szCs w:val="20"/>
        </w:rPr>
        <w:t xml:space="preserve"> can read the </w:t>
      </w:r>
      <w:hyperlink r:id="rId10" w:history="1">
        <w:r w:rsidR="00B75F45">
          <w:rPr>
            <w:rStyle w:val="Hyperlink"/>
            <w:rFonts w:eastAsiaTheme="majorEastAsia"/>
            <w:szCs w:val="20"/>
          </w:rPr>
          <w:t>media release</w:t>
        </w:r>
      </w:hyperlink>
      <w:r w:rsidR="00B75F45">
        <w:rPr>
          <w:szCs w:val="20"/>
        </w:rPr>
        <w:t xml:space="preserve"> on the AHPRA website.</w:t>
      </w:r>
    </w:p>
    <w:p w14:paraId="2179560D" w14:textId="77777777" w:rsidR="00B75F45" w:rsidRDefault="00B75F45" w:rsidP="00B75F45">
      <w:pPr>
        <w:pStyle w:val="AHPRASubheading"/>
        <w:rPr>
          <w:lang w:val="en"/>
        </w:rPr>
      </w:pPr>
      <w:r>
        <w:rPr>
          <w:lang w:val="en"/>
        </w:rPr>
        <w:t xml:space="preserve">AHPRA launches WHO Collaborating Centre for Health Workforce Regulation </w:t>
      </w:r>
    </w:p>
    <w:p w14:paraId="46E6FEFC" w14:textId="77777777" w:rsidR="00B75F45" w:rsidRDefault="00B75F45" w:rsidP="00B75F45">
      <w:pPr>
        <w:pStyle w:val="AHPRAbody"/>
      </w:pPr>
      <w:r>
        <w:t>In April, AHPRA officially launched as a designated World Health Organization (WHO) Collaborating Centre for Health Workforce Regulation in the Western Pacific Region.</w:t>
      </w:r>
    </w:p>
    <w:p w14:paraId="26D0EBF8" w14:textId="77777777" w:rsidR="00B75F45" w:rsidRDefault="00B75F45" w:rsidP="00B75F45">
      <w:pPr>
        <w:pStyle w:val="AHPRAbody"/>
        <w:rPr>
          <w:lang w:val="en"/>
        </w:rPr>
      </w:pPr>
      <w:r>
        <w:rPr>
          <w:lang w:val="en"/>
        </w:rPr>
        <w:t>AHPRA, working in partnership with the National Boards, joins a list of over 800 institutions in more than 80 countries supporting WHO programs in areas such as nursing development, communicable diseases, mental health, chronic diseases and health technologies.</w:t>
      </w:r>
    </w:p>
    <w:p w14:paraId="37F93FCB" w14:textId="77777777" w:rsidR="00B75F45" w:rsidRDefault="00B75F45" w:rsidP="00B75F45">
      <w:pPr>
        <w:pStyle w:val="AHPRAbody"/>
        <w:rPr>
          <w:lang w:val="en"/>
        </w:rPr>
      </w:pPr>
      <w:r>
        <w:rPr>
          <w:lang w:val="en"/>
        </w:rPr>
        <w:t xml:space="preserve">Strengthening the regulation of the health workforce is an important part of the WHO’s global strategy to build the human resources needed for access to safe and quality healthcare across the world. </w:t>
      </w:r>
    </w:p>
    <w:p w14:paraId="70111926" w14:textId="77777777" w:rsidR="00B75F45" w:rsidRDefault="00B75F45" w:rsidP="00B75F45">
      <w:pPr>
        <w:pStyle w:val="AHPRAbody"/>
        <w:rPr>
          <w:lang w:val="en"/>
        </w:rPr>
      </w:pPr>
      <w:r>
        <w:rPr>
          <w:lang w:val="en"/>
        </w:rPr>
        <w:t>As a designated WHO Collaborating Centre for Health Workforce Regulation, we’re excited by the opportunity to share expertise and promote dialogue that collectively improves the standard of regulatory practice within the WHO Western Pacific Region. We know that the global health workforce crosses country borders and is mobile, including in Australia where thousands of overseas-qualified practitioners are registered and take up practice here. It’s important that regulators from different countries work together to set the standards for practitioner education, competence and conduct necessary for the global health workforce to deliver safe and reliable healthcare. </w:t>
      </w:r>
    </w:p>
    <w:p w14:paraId="5AFEAECE" w14:textId="77777777" w:rsidR="00B75F45" w:rsidRDefault="00B75F45" w:rsidP="00B75F45">
      <w:pPr>
        <w:pStyle w:val="AHPRAbody"/>
        <w:rPr>
          <w:lang w:val="en-AU"/>
        </w:rPr>
      </w:pPr>
      <w:r>
        <w:lastRenderedPageBreak/>
        <w:t>As a WHO collaborating centre AHPRA will:</w:t>
      </w:r>
    </w:p>
    <w:p w14:paraId="7784F32B" w14:textId="2B6775FF" w:rsidR="00B75F45" w:rsidRDefault="00B75F45" w:rsidP="00A44B7F">
      <w:pPr>
        <w:pStyle w:val="AHPRABulletlevel1"/>
        <w:numPr>
          <w:ilvl w:val="0"/>
          <w:numId w:val="34"/>
        </w:numPr>
        <w:ind w:left="369" w:hanging="369"/>
        <w:rPr>
          <w:lang w:val="en" w:eastAsia="en-AU"/>
        </w:rPr>
      </w:pPr>
      <w:r>
        <w:rPr>
          <w:lang w:val="en" w:eastAsia="en-AU"/>
        </w:rPr>
        <w:t>help WHO in providing technical support to strengthen health workforce regulatory systems in member states </w:t>
      </w:r>
    </w:p>
    <w:p w14:paraId="4271ACC3" w14:textId="57303DA3" w:rsidR="00B75F45" w:rsidRDefault="00B75F45" w:rsidP="00A44B7F">
      <w:pPr>
        <w:pStyle w:val="AHPRABulletlevel1"/>
        <w:numPr>
          <w:ilvl w:val="0"/>
          <w:numId w:val="34"/>
        </w:numPr>
        <w:ind w:left="369" w:hanging="369"/>
        <w:rPr>
          <w:lang w:val="en" w:eastAsia="en-AU"/>
        </w:rPr>
      </w:pPr>
      <w:r>
        <w:rPr>
          <w:lang w:val="en" w:eastAsia="en-AU"/>
        </w:rPr>
        <w:t>support WHO in promoting the adoption of contemporary regulatory approaches to health workforce regulation, and</w:t>
      </w:r>
    </w:p>
    <w:p w14:paraId="6E6B65E0" w14:textId="1B0DBEB7" w:rsidR="002A2417" w:rsidRPr="007B47C5" w:rsidRDefault="00B75F45" w:rsidP="00A44B7F">
      <w:pPr>
        <w:pStyle w:val="AHPRABulletlevel1"/>
        <w:numPr>
          <w:ilvl w:val="0"/>
          <w:numId w:val="34"/>
        </w:numPr>
        <w:ind w:left="369" w:hanging="369"/>
        <w:rPr>
          <w:lang w:val="en" w:eastAsia="en-AU"/>
        </w:rPr>
      </w:pPr>
      <w:r>
        <w:rPr>
          <w:lang w:val="en" w:eastAsia="en-AU"/>
        </w:rPr>
        <w:t>strengthen the capacity, skills and knowledge of regulators in member states under WHO’s guidance. </w:t>
      </w:r>
    </w:p>
    <w:p w14:paraId="33F6D1F7" w14:textId="317EF435" w:rsidR="002A2417" w:rsidRDefault="002A2417" w:rsidP="002A2417">
      <w:pPr>
        <w:pStyle w:val="AHPRASubheading"/>
        <w:rPr>
          <w:lang w:val="en-US"/>
        </w:rPr>
      </w:pPr>
      <w:r>
        <w:rPr>
          <w:lang w:val="en-US"/>
        </w:rPr>
        <w:t xml:space="preserve">Information Publications Scheme – promoting accessibility of our information </w:t>
      </w:r>
    </w:p>
    <w:p w14:paraId="54145804" w14:textId="77777777" w:rsidR="002A2417" w:rsidRDefault="002A2417" w:rsidP="002A2417">
      <w:pPr>
        <w:pStyle w:val="AHPRAbody"/>
        <w:rPr>
          <w:lang w:val="en-AU"/>
        </w:rPr>
      </w:pPr>
      <w:r>
        <w:t xml:space="preserve">From 1 June 2019, AHPRA and National Boards are required to comply with the Information Publication Scheme (IPS) established under the </w:t>
      </w:r>
      <w:r>
        <w:rPr>
          <w:i/>
          <w:iCs/>
        </w:rPr>
        <w:t xml:space="preserve">Freedom of Information Act 1982 </w:t>
      </w:r>
      <w:r>
        <w:t>(</w:t>
      </w:r>
      <w:proofErr w:type="spellStart"/>
      <w:r>
        <w:t>Cth</w:t>
      </w:r>
      <w:proofErr w:type="spellEnd"/>
      <w:r>
        <w:t xml:space="preserve">). The IPS promotes openness and transparency and aims to reduce the number of Freedom of Information applications through the proactive publication of information. This requires that certain information and documents be made publicly available. </w:t>
      </w:r>
    </w:p>
    <w:p w14:paraId="20CCB919" w14:textId="77777777" w:rsidR="002A2417" w:rsidRDefault="002A2417" w:rsidP="002A2417">
      <w:pPr>
        <w:pStyle w:val="AHPRAbody"/>
      </w:pPr>
      <w:r>
        <w:t xml:space="preserve">AHPRA and National Boards have worked together to implement the IPS and information has been recently published about it on the </w:t>
      </w:r>
      <w:hyperlink r:id="rId11" w:history="1">
        <w:r>
          <w:rPr>
            <w:rStyle w:val="Hyperlink"/>
            <w:rFonts w:cs="Arial"/>
            <w:szCs w:val="20"/>
          </w:rPr>
          <w:t>AHPRA website</w:t>
        </w:r>
      </w:hyperlink>
      <w:r>
        <w:t>.</w:t>
      </w:r>
    </w:p>
    <w:p w14:paraId="5B066790" w14:textId="4D9B8261" w:rsidR="001436A5" w:rsidRPr="006C54F4" w:rsidRDefault="001436A5" w:rsidP="001436A5">
      <w:pPr>
        <w:autoSpaceDE w:val="0"/>
        <w:autoSpaceDN w:val="0"/>
        <w:rPr>
          <w:color w:val="000000"/>
          <w:szCs w:val="20"/>
        </w:rPr>
      </w:pPr>
      <w:r w:rsidRPr="001436A5">
        <w:rPr>
          <w:b/>
          <w:bCs/>
          <w:color w:val="007BC3"/>
          <w:szCs w:val="20"/>
        </w:rPr>
        <w:t>Follow AHPRA on social media</w:t>
      </w:r>
    </w:p>
    <w:p w14:paraId="378DF8B8" w14:textId="385000CB" w:rsidR="00444E3B" w:rsidRDefault="00444E3B" w:rsidP="00244A4B">
      <w:pPr>
        <w:pStyle w:val="AHPRABody0"/>
        <w:rPr>
          <w:rStyle w:val="Hyperlink"/>
          <w:color w:val="auto"/>
          <w:u w:val="none"/>
        </w:rPr>
      </w:pPr>
      <w:r>
        <w:t xml:space="preserve">Connect with AHPRA on </w:t>
      </w:r>
      <w:hyperlink r:id="rId12" w:history="1">
        <w:r>
          <w:rPr>
            <w:rStyle w:val="Hyperlink"/>
          </w:rPr>
          <w:t>Facebook</w:t>
        </w:r>
      </w:hyperlink>
      <w:r>
        <w:t xml:space="preserve">, </w:t>
      </w:r>
      <w:r w:rsidR="00ED4D5E">
        <w:rPr>
          <w:rStyle w:val="Hyperlink"/>
        </w:rPr>
        <w:fldChar w:fldCharType="begin"/>
      </w:r>
      <w:r w:rsidR="00ED4D5E">
        <w:rPr>
          <w:rStyle w:val="Hyperlink"/>
        </w:rPr>
        <w:instrText xml:space="preserve"> HYPERLIN "https://twitter.com/AHPRA" </w:instrText>
      </w:r>
      <w:r w:rsidR="00ED4D5E">
        <w:rPr>
          <w:rStyle w:val="Hyperlink"/>
        </w:rPr>
        <w:fldChar w:fldCharType="separate"/>
      </w:r>
      <w:r>
        <w:rPr>
          <w:rStyle w:val="Hyperlink"/>
        </w:rPr>
        <w:t>Twitter</w:t>
      </w:r>
      <w:r w:rsidR="00ED4D5E">
        <w:rPr>
          <w:rStyle w:val="Hyperlink"/>
        </w:rPr>
        <w:fldChar w:fldCharType="end"/>
      </w:r>
      <w:r w:rsidRPr="003C6B82">
        <w:rPr>
          <w:rStyle w:val="Hyperlink"/>
          <w:color w:val="000000"/>
          <w:u w:val="none"/>
        </w:rPr>
        <w:t xml:space="preserve"> </w:t>
      </w:r>
      <w:r w:rsidR="001B4A4B">
        <w:rPr>
          <w:rStyle w:val="Hyperlink"/>
          <w:color w:val="000000"/>
          <w:u w:val="none"/>
        </w:rPr>
        <w:t>and</w:t>
      </w:r>
      <w:r w:rsidR="001B4A4B" w:rsidRPr="003C6B82">
        <w:rPr>
          <w:rStyle w:val="Hyperlink"/>
          <w:color w:val="000000"/>
          <w:u w:val="none"/>
        </w:rPr>
        <w:t xml:space="preserve"> </w:t>
      </w:r>
      <w:hyperlink r:id="rId13" w:history="1">
        <w:r>
          <w:rPr>
            <w:rStyle w:val="Hyperlink"/>
          </w:rPr>
          <w:t>LinkedIn</w:t>
        </w:r>
      </w:hyperlink>
      <w:r w:rsidRPr="0059734B">
        <w:rPr>
          <w:rStyle w:val="Hyperlink"/>
          <w:u w:val="none"/>
        </w:rPr>
        <w:t xml:space="preserve"> </w:t>
      </w:r>
      <w:r w:rsidRPr="0059734B">
        <w:rPr>
          <w:rStyle w:val="Hyperlink"/>
          <w:color w:val="auto"/>
          <w:u w:val="none"/>
        </w:rPr>
        <w:t xml:space="preserve">to receive </w:t>
      </w:r>
      <w:r w:rsidR="001B4A4B">
        <w:rPr>
          <w:rStyle w:val="Hyperlink"/>
          <w:color w:val="auto"/>
          <w:u w:val="none"/>
        </w:rPr>
        <w:t>up to date in</w:t>
      </w:r>
      <w:r w:rsidRPr="0059734B">
        <w:rPr>
          <w:rStyle w:val="Hyperlink"/>
          <w:color w:val="auto"/>
          <w:u w:val="none"/>
        </w:rPr>
        <w:t>formation about important topics for your profession and participate in the discussion.</w:t>
      </w:r>
    </w:p>
    <w:p w14:paraId="1F742D23" w14:textId="77777777" w:rsidR="005112C8" w:rsidRPr="00A15625" w:rsidRDefault="005112C8" w:rsidP="00244A4B">
      <w:pPr>
        <w:pStyle w:val="AHPRABody0"/>
        <w:rPr>
          <w:color w:val="0000FF"/>
          <w:u w:val="single"/>
        </w:rPr>
      </w:pPr>
    </w:p>
    <w:tbl>
      <w:tblPr>
        <w:tblW w:w="0" w:type="auto"/>
        <w:tblCellMar>
          <w:left w:w="0" w:type="dxa"/>
          <w:right w:w="0" w:type="dxa"/>
        </w:tblCellMar>
        <w:tblLook w:val="04A0" w:firstRow="1" w:lastRow="0" w:firstColumn="1" w:lastColumn="0" w:noHBand="0" w:noVBand="1"/>
      </w:tblPr>
      <w:tblGrid>
        <w:gridCol w:w="679"/>
        <w:gridCol w:w="679"/>
        <w:gridCol w:w="667"/>
      </w:tblGrid>
      <w:tr w:rsidR="00444E3B" w:rsidDel="00BA4D6E" w14:paraId="433E3BB8" w14:textId="77777777" w:rsidTr="00444E3B">
        <w:trPr>
          <w:trHeight w:val="430"/>
        </w:trPr>
        <w:tc>
          <w:tcPr>
            <w:tcW w:w="279" w:type="dxa"/>
            <w:shd w:val="clear" w:color="auto" w:fill="FFFFFF"/>
            <w:tcMar>
              <w:top w:w="0" w:type="dxa"/>
              <w:left w:w="108" w:type="dxa"/>
              <w:bottom w:w="0" w:type="dxa"/>
              <w:right w:w="108" w:type="dxa"/>
            </w:tcMar>
            <w:hideMark/>
          </w:tcPr>
          <w:p w14:paraId="5C8B8AD3" w14:textId="77777777" w:rsidR="00444E3B" w:rsidDel="00BA4D6E" w:rsidRDefault="00855890" w:rsidP="00244A4B">
            <w:pPr>
              <w:pStyle w:val="AHPRABody0"/>
            </w:pPr>
            <w:r w:rsidDel="00BA4D6E">
              <w:rPr>
                <w:noProof/>
              </w:rPr>
              <w:drawing>
                <wp:inline distT="0" distB="0" distL="0" distR="0" wp14:anchorId="5DE11F6D" wp14:editId="207F8E03">
                  <wp:extent cx="294005" cy="294005"/>
                  <wp:effectExtent l="0" t="0" r="0" b="0"/>
                  <wp:docPr id="3" name="Picture 3" descr="cid:image007.png@01D29119.A57517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29119.A57517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79" w:type="dxa"/>
            <w:shd w:val="clear" w:color="auto" w:fill="FFFFFF"/>
            <w:tcMar>
              <w:top w:w="0" w:type="dxa"/>
              <w:left w:w="108" w:type="dxa"/>
              <w:bottom w:w="0" w:type="dxa"/>
              <w:right w:w="108" w:type="dxa"/>
            </w:tcMar>
            <w:hideMark/>
          </w:tcPr>
          <w:p w14:paraId="7059B4A4" w14:textId="77777777" w:rsidR="00444E3B" w:rsidDel="00BA4D6E" w:rsidRDefault="00855890" w:rsidP="00244A4B">
            <w:pPr>
              <w:pStyle w:val="AHPRABody0"/>
            </w:pPr>
            <w:r w:rsidDel="00BA4D6E">
              <w:rPr>
                <w:noProof/>
              </w:rPr>
              <w:drawing>
                <wp:inline distT="0" distB="0" distL="0" distR="0" wp14:anchorId="5877D4C4" wp14:editId="082A4E94">
                  <wp:extent cx="294005" cy="294005"/>
                  <wp:effectExtent l="0" t="0" r="0" b="0"/>
                  <wp:docPr id="4" name="Picture 4" descr="cid:image008.png@01D29119.A57517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29119.A57517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73" w:type="dxa"/>
            <w:shd w:val="clear" w:color="auto" w:fill="FFFFFF"/>
            <w:tcMar>
              <w:top w:w="0" w:type="dxa"/>
              <w:left w:w="108" w:type="dxa"/>
              <w:bottom w:w="0" w:type="dxa"/>
              <w:right w:w="108" w:type="dxa"/>
            </w:tcMar>
            <w:hideMark/>
          </w:tcPr>
          <w:p w14:paraId="3C73D850" w14:textId="77777777" w:rsidR="00444E3B" w:rsidDel="00BA4D6E" w:rsidRDefault="00855890" w:rsidP="00244A4B">
            <w:pPr>
              <w:pStyle w:val="AHPRABody0"/>
            </w:pPr>
            <w:r w:rsidDel="00BA4D6E">
              <w:rPr>
                <w:noProof/>
              </w:rPr>
              <w:drawing>
                <wp:inline distT="0" distB="0" distL="0" distR="0" wp14:anchorId="5A154268" wp14:editId="7CA163EC">
                  <wp:extent cx="286385" cy="286385"/>
                  <wp:effectExtent l="0" t="0" r="0" b="0"/>
                  <wp:docPr id="5" name="Picture 5" descr="cid:image009.png@01D29119.A57517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29119.A57517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14:paraId="4585E6B2" w14:textId="77777777" w:rsidR="001C7C34" w:rsidRDefault="001C7C34" w:rsidP="00244A4B">
      <w:pPr>
        <w:pStyle w:val="AHPRABody0"/>
      </w:pPr>
    </w:p>
    <w:p w14:paraId="641E0A34" w14:textId="160B0E61" w:rsidR="004D0ADC" w:rsidRPr="001436A5" w:rsidRDefault="00F47B7E" w:rsidP="001436A5">
      <w:pPr>
        <w:autoSpaceDE w:val="0"/>
        <w:autoSpaceDN w:val="0"/>
        <w:rPr>
          <w:b/>
          <w:bCs/>
          <w:color w:val="007BC3"/>
          <w:szCs w:val="20"/>
        </w:rPr>
      </w:pPr>
      <w:r w:rsidRPr="001436A5">
        <w:rPr>
          <w:b/>
          <w:bCs/>
          <w:color w:val="007BC3"/>
          <w:szCs w:val="20"/>
        </w:rPr>
        <w:t>Keeping in touch with the Board</w:t>
      </w:r>
    </w:p>
    <w:p w14:paraId="6F7A4BD2" w14:textId="703B4F9F" w:rsidR="007543C5" w:rsidRDefault="00984E15">
      <w:pPr>
        <w:pStyle w:val="AHPRABody0"/>
      </w:pPr>
      <w:r>
        <w:t>The Board publishes a range of information</w:t>
      </w:r>
      <w:r w:rsidR="00936443">
        <w:t xml:space="preserve"> and resources</w:t>
      </w:r>
      <w:r>
        <w:t xml:space="preserve"> about registration and the Board’s expectations of practitioners on </w:t>
      </w:r>
      <w:r w:rsidR="00936443">
        <w:t xml:space="preserve">their </w:t>
      </w:r>
      <w:r>
        <w:t xml:space="preserve">website at </w:t>
      </w:r>
      <w:hyperlink r:id="rId18"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olic</w:t>
      </w:r>
      <w:r w:rsidR="00246A34">
        <w:t>ies</w:t>
      </w:r>
      <w:r w:rsidRPr="00B478FC">
        <w:t xml:space="preserve"> and </w:t>
      </w:r>
      <w:r>
        <w:t>g</w:t>
      </w:r>
      <w:r w:rsidRPr="00B478FC">
        <w:t>uidelines affecting their profession</w:t>
      </w:r>
      <w:r>
        <w:t>.</w:t>
      </w:r>
    </w:p>
    <w:p w14:paraId="41BBBCD0" w14:textId="77777777" w:rsidR="007543C5" w:rsidRDefault="007543C5">
      <w:pPr>
        <w:pStyle w:val="AHPRABody0"/>
      </w:pPr>
    </w:p>
    <w:p w14:paraId="5A474569" w14:textId="77777777" w:rsidR="007543C5" w:rsidRDefault="007543C5">
      <w:pPr>
        <w:pStyle w:val="AHPRABody0"/>
      </w:pPr>
      <w:r>
        <w:t xml:space="preserve">For more information about registration, notifications or other matters relevant to the National Registration and Accreditation Scheme please refer to the information published on </w:t>
      </w:r>
      <w:hyperlink r:id="rId19" w:history="1">
        <w:r>
          <w:rPr>
            <w:rStyle w:val="Hyperlink"/>
          </w:rPr>
          <w:t>www.ahpra.gov.au</w:t>
        </w:r>
      </w:hyperlink>
      <w:r>
        <w:t xml:space="preserve">. Alternatively, contact AHPRA by an </w:t>
      </w:r>
      <w:hyperlink r:id="rId20" w:anchor="Webenquiryform" w:history="1">
        <w:r>
          <w:rPr>
            <w:rStyle w:val="Hyperlink"/>
          </w:rPr>
          <w:t>online enquiry form</w:t>
        </w:r>
      </w:hyperlink>
      <w:r>
        <w:rPr>
          <w:color w:val="0000FF"/>
          <w:u w:val="single"/>
        </w:rPr>
        <w:t xml:space="preserve"> </w:t>
      </w:r>
      <w:r>
        <w:t xml:space="preserve">or phone 1300 419 495. </w:t>
      </w:r>
    </w:p>
    <w:p w14:paraId="37FCE277" w14:textId="1A46DB8C" w:rsidR="00910636" w:rsidRDefault="00910636">
      <w:pPr>
        <w:pStyle w:val="AHPRABody0"/>
        <w:rPr>
          <w:b/>
          <w:lang w:val="en-US"/>
        </w:rPr>
      </w:pPr>
    </w:p>
    <w:p w14:paraId="6A2A799E" w14:textId="55339C38" w:rsidR="00312836" w:rsidRPr="00444E3B" w:rsidRDefault="00F47B7E">
      <w:pPr>
        <w:pStyle w:val="AHPRABody0"/>
        <w:rPr>
          <w:b/>
          <w:lang w:val="en-US"/>
        </w:rPr>
      </w:pPr>
      <w:r w:rsidRPr="00F47B7E">
        <w:rPr>
          <w:b/>
          <w:lang w:val="en-US"/>
        </w:rPr>
        <w:t>Dr Nikole Grbin (Osteopath)</w:t>
      </w:r>
    </w:p>
    <w:p w14:paraId="7A888E38" w14:textId="77777777" w:rsidR="008626DB" w:rsidRPr="00444E3B" w:rsidRDefault="00F47B7E" w:rsidP="00244A4B">
      <w:pPr>
        <w:pStyle w:val="AHPRABody0"/>
        <w:rPr>
          <w:lang w:val="en-US"/>
        </w:rPr>
      </w:pPr>
      <w:r w:rsidRPr="00F47B7E">
        <w:rPr>
          <w:lang w:val="en-US"/>
        </w:rPr>
        <w:t>Chair</w:t>
      </w:r>
    </w:p>
    <w:p w14:paraId="63C4E2CB" w14:textId="77777777" w:rsidR="0092054F" w:rsidRPr="00444E3B" w:rsidRDefault="00F47B7E" w:rsidP="00244A4B">
      <w:pPr>
        <w:pStyle w:val="AHPRABody0"/>
        <w:rPr>
          <w:lang w:val="en-US"/>
        </w:rPr>
      </w:pPr>
      <w:r w:rsidRPr="00F47B7E">
        <w:rPr>
          <w:lang w:val="en-US"/>
        </w:rPr>
        <w:t>Osteopathy Board of Australia</w:t>
      </w:r>
    </w:p>
    <w:p w14:paraId="133D67AE" w14:textId="7BDCCF62" w:rsidR="00312836" w:rsidRDefault="00640F9F">
      <w:pPr>
        <w:pStyle w:val="AHPRABody0"/>
      </w:pPr>
      <w:r>
        <w:rPr>
          <w:lang w:val="en-US"/>
        </w:rPr>
        <w:t xml:space="preserve">11 </w:t>
      </w:r>
      <w:r w:rsidR="00CF70A2" w:rsidRPr="00B75F45">
        <w:rPr>
          <w:lang w:val="en-US"/>
        </w:rPr>
        <w:t>June</w:t>
      </w:r>
      <w:r w:rsidR="003D7A3C" w:rsidRPr="00B75F45">
        <w:rPr>
          <w:lang w:val="en-US"/>
        </w:rPr>
        <w:t xml:space="preserve"> 2019</w:t>
      </w:r>
    </w:p>
    <w:sectPr w:rsidR="00312836" w:rsidSect="002F773E">
      <w:headerReference w:type="default" r:id="rId21"/>
      <w:footerReference w:type="even" r:id="rId22"/>
      <w:footerReference w:type="default" r:id="rId23"/>
      <w:headerReference w:type="first" r:id="rId24"/>
      <w:footerReference w:type="first" r:id="rId25"/>
      <w:pgSz w:w="11900" w:h="16840"/>
      <w:pgMar w:top="1134" w:right="1134" w:bottom="992" w:left="1134"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8351" w14:textId="77777777" w:rsidR="00BC3584" w:rsidRDefault="00BC3584" w:rsidP="008A56B3">
      <w:r>
        <w:separator/>
      </w:r>
    </w:p>
    <w:p w14:paraId="32198CFF" w14:textId="77777777" w:rsidR="00BC3584" w:rsidRDefault="00BC3584" w:rsidP="008A56B3"/>
  </w:endnote>
  <w:endnote w:type="continuationSeparator" w:id="0">
    <w:p w14:paraId="386E0ADF" w14:textId="77777777" w:rsidR="00BC3584" w:rsidRDefault="00BC3584" w:rsidP="008A56B3">
      <w:r>
        <w:continuationSeparator/>
      </w:r>
    </w:p>
    <w:p w14:paraId="70A3DD42" w14:textId="77777777" w:rsidR="00BC3584" w:rsidRDefault="00BC3584"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A113" w14:textId="77777777" w:rsidR="00DA5C37" w:rsidRDefault="008F5018" w:rsidP="008A56B3">
    <w:pPr>
      <w:pStyle w:val="AHPRAfootnote"/>
    </w:pPr>
    <w:r>
      <w:fldChar w:fldCharType="begin"/>
    </w:r>
    <w:r w:rsidR="00DA5C37">
      <w:instrText xml:space="preserve">PAGE  </w:instrText>
    </w:r>
    <w:r>
      <w:fldChar w:fldCharType="end"/>
    </w:r>
  </w:p>
  <w:p w14:paraId="78F6185C" w14:textId="77777777" w:rsidR="00DA5C37" w:rsidRDefault="00DA5C37" w:rsidP="008A56B3">
    <w:pPr>
      <w:pStyle w:val="AHPRAfootnote"/>
    </w:pPr>
  </w:p>
  <w:p w14:paraId="1411860C" w14:textId="77777777" w:rsidR="00DA5C37" w:rsidRDefault="00DA5C37" w:rsidP="008A56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165"/>
      <w:docPartObj>
        <w:docPartGallery w:val="Page Numbers (Top of Page)"/>
        <w:docPartUnique/>
      </w:docPartObj>
    </w:sdtPr>
    <w:sdtEndPr/>
    <w:sdtContent>
      <w:p w14:paraId="0FAE464B" w14:textId="74AB0428" w:rsidR="00A44B7F" w:rsidRDefault="00A44B7F" w:rsidP="00A44B7F">
        <w:pPr>
          <w:pStyle w:val="AHPRAfooter"/>
          <w:jc w:val="both"/>
          <w:rPr>
            <w:szCs w:val="16"/>
          </w:rPr>
        </w:pPr>
        <w:r>
          <w:t>Communiqué</w:t>
        </w:r>
        <w:r w:rsidRPr="00E77E23">
          <w:rPr>
            <w:szCs w:val="16"/>
          </w:rPr>
          <w:t>/</w:t>
        </w:r>
        <w:r>
          <w:rPr>
            <w:szCs w:val="16"/>
          </w:rPr>
          <w:t>May 2019</w:t>
        </w:r>
      </w:p>
      <w:p w14:paraId="44E69ACA" w14:textId="2D905FE8" w:rsidR="00DA5C37" w:rsidRPr="000E7E28" w:rsidRDefault="00B83C48" w:rsidP="00A44B7F">
        <w:pPr>
          <w:pStyle w:val="AHPRApagenumber"/>
        </w:pPr>
        <w:sdt>
          <w:sdtPr>
            <w:id w:val="18143575"/>
            <w:docPartObj>
              <w:docPartGallery w:val="Page Numbers (Top of Page)"/>
              <w:docPartUnique/>
            </w:docPartObj>
          </w:sdtPr>
          <w:sdtEndPr/>
          <w:sdtContent>
            <w:r w:rsidR="00A44B7F" w:rsidRPr="000E7E28">
              <w:t xml:space="preserve">Page </w:t>
            </w:r>
            <w:r w:rsidR="00A44B7F">
              <w:fldChar w:fldCharType="begin"/>
            </w:r>
            <w:r w:rsidR="00A44B7F">
              <w:instrText xml:space="preserve"> PAGE </w:instrText>
            </w:r>
            <w:r w:rsidR="00A44B7F">
              <w:fldChar w:fldCharType="separate"/>
            </w:r>
            <w:r w:rsidR="00A44B7F">
              <w:t>2</w:t>
            </w:r>
            <w:r w:rsidR="00A44B7F">
              <w:rPr>
                <w:noProof/>
              </w:rPr>
              <w:fldChar w:fldCharType="end"/>
            </w:r>
            <w:r w:rsidR="00A44B7F" w:rsidRPr="000E7E28">
              <w:t xml:space="preserve"> of </w:t>
            </w:r>
            <w:r w:rsidR="00A44B7F">
              <w:fldChar w:fldCharType="begin"/>
            </w:r>
            <w:r w:rsidR="00A44B7F">
              <w:instrText xml:space="preserve"> NUMPAGES  </w:instrText>
            </w:r>
            <w:r w:rsidR="00A44B7F">
              <w:fldChar w:fldCharType="separate"/>
            </w:r>
            <w:r w:rsidR="00A44B7F">
              <w:t>2</w:t>
            </w:r>
            <w:r w:rsidR="00A44B7F">
              <w:rPr>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4B07" w14:textId="77777777" w:rsidR="00A44B7F" w:rsidRPr="00E77E23" w:rsidRDefault="00A44B7F" w:rsidP="00A44B7F">
    <w:pPr>
      <w:pStyle w:val="AHPRAfirstpagefooter"/>
    </w:pPr>
    <w:r>
      <w:rPr>
        <w:color w:val="007DC3"/>
      </w:rPr>
      <w:t>Osteopathy</w:t>
    </w:r>
    <w:r w:rsidRPr="00E77E23">
      <w:t xml:space="preserve"> </w:t>
    </w:r>
    <w:r>
      <w:t>Board of Australia</w:t>
    </w:r>
  </w:p>
  <w:p w14:paraId="2AFA4895" w14:textId="0905497A" w:rsidR="00A44B7F" w:rsidRDefault="00A44B7F" w:rsidP="00A44B7F">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B60415">
      <w:t>osteopathyboard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6C9C" w14:textId="77777777" w:rsidR="00BC3584" w:rsidRDefault="00BC3584" w:rsidP="008A56B3">
      <w:r>
        <w:separator/>
      </w:r>
    </w:p>
  </w:footnote>
  <w:footnote w:type="continuationSeparator" w:id="0">
    <w:p w14:paraId="2CE497BB" w14:textId="77777777" w:rsidR="00BC3584" w:rsidRDefault="00BC3584" w:rsidP="008A56B3">
      <w:r>
        <w:continuationSeparator/>
      </w:r>
    </w:p>
    <w:p w14:paraId="589DA232" w14:textId="77777777" w:rsidR="00BC3584" w:rsidRDefault="00BC3584" w:rsidP="008A56B3"/>
  </w:footnote>
  <w:footnote w:type="continuationNotice" w:id="1">
    <w:p w14:paraId="4A12B432" w14:textId="77777777" w:rsidR="00BC3584" w:rsidRDefault="00BC3584" w:rsidP="008A5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074B" w14:textId="77777777" w:rsidR="00DA5C37" w:rsidRPr="00315933" w:rsidRDefault="00DA5C37" w:rsidP="008A56B3"/>
  <w:p w14:paraId="4622CE98" w14:textId="77777777" w:rsidR="00DA5C37" w:rsidRDefault="00DA5C37" w:rsidP="008A56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853E" w14:textId="77777777" w:rsidR="00DA5C37" w:rsidRDefault="00DA5C37" w:rsidP="008A56B3">
    <w:r>
      <w:rPr>
        <w:noProof/>
        <w:szCs w:val="20"/>
        <w:lang w:val="en-US"/>
      </w:rPr>
      <w:drawing>
        <wp:anchor distT="0" distB="0" distL="114300" distR="114300" simplePos="0" relativeHeight="251658240" behindDoc="0" locked="0" layoutInCell="1" allowOverlap="1" wp14:anchorId="122624CD" wp14:editId="5C5E7648">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14:paraId="20E26422" w14:textId="77777777" w:rsidR="00DA5C37" w:rsidRDefault="00DA5C37" w:rsidP="008A56B3"/>
  <w:p w14:paraId="28282034" w14:textId="77777777" w:rsidR="00DA5C37" w:rsidRDefault="00DA5C37" w:rsidP="008A56B3"/>
  <w:p w14:paraId="2668390B" w14:textId="77777777" w:rsidR="00DA5C37" w:rsidRDefault="00DA5C37" w:rsidP="008A56B3"/>
  <w:p w14:paraId="07611FC9" w14:textId="77777777" w:rsidR="00DA5C37" w:rsidRDefault="00DA5C37" w:rsidP="008A56B3"/>
  <w:p w14:paraId="340D0BC1" w14:textId="77777777" w:rsidR="00DA5C37" w:rsidRDefault="00DA5C37" w:rsidP="008A56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2BE8"/>
    <w:multiLevelType w:val="hybridMultilevel"/>
    <w:tmpl w:val="4274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20B0F"/>
    <w:multiLevelType w:val="hybridMultilevel"/>
    <w:tmpl w:val="426C78EA"/>
    <w:lvl w:ilvl="0" w:tplc="197E7ACC">
      <w:start w:val="1"/>
      <w:numFmt w:val="decimal"/>
      <w:pStyle w:val="AHPRAbodyContextparanumbered"/>
      <w:lvlText w:val="%1."/>
      <w:lvlJc w:val="left"/>
      <w:pPr>
        <w:ind w:left="502"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AB67BE"/>
    <w:multiLevelType w:val="hybridMultilevel"/>
    <w:tmpl w:val="516E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B4714"/>
    <w:multiLevelType w:val="hybridMultilevel"/>
    <w:tmpl w:val="9EE68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8768E5"/>
    <w:multiLevelType w:val="hybridMultilevel"/>
    <w:tmpl w:val="8E04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51132"/>
    <w:multiLevelType w:val="hybridMultilevel"/>
    <w:tmpl w:val="D0083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5461DB"/>
    <w:multiLevelType w:val="hybridMultilevel"/>
    <w:tmpl w:val="9718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8"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A6FC9"/>
    <w:multiLevelType w:val="hybridMultilevel"/>
    <w:tmpl w:val="67D23CB2"/>
    <w:lvl w:ilvl="0" w:tplc="8A88EA50">
      <w:start w:val="1"/>
      <w:numFmt w:val="bullet"/>
      <w:lvlText w:val=""/>
      <w:lvlJc w:val="left"/>
      <w:pPr>
        <w:ind w:left="360" w:hanging="360"/>
      </w:pPr>
      <w:rPr>
        <w:rFonts w:ascii="Symbol" w:hAnsi="Symbol" w:hint="default"/>
      </w:rPr>
    </w:lvl>
    <w:lvl w:ilvl="1" w:tplc="1CFC3D4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3D3B3714"/>
    <w:multiLevelType w:val="multilevel"/>
    <w:tmpl w:val="C4183F12"/>
    <w:numStyleLink w:val="AHPRANumberedlist"/>
  </w:abstractNum>
  <w:abstractNum w:abstractNumId="22" w15:restartNumberingAfterBreak="0">
    <w:nsid w:val="3DE114AB"/>
    <w:multiLevelType w:val="hybridMultilevel"/>
    <w:tmpl w:val="1312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53AB1"/>
    <w:multiLevelType w:val="hybridMultilevel"/>
    <w:tmpl w:val="C0DAF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E0263A"/>
    <w:multiLevelType w:val="hybridMultilevel"/>
    <w:tmpl w:val="95B252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74309"/>
    <w:multiLevelType w:val="hybridMultilevel"/>
    <w:tmpl w:val="EE5CC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64E2A17"/>
    <w:multiLevelType w:val="hybridMultilevel"/>
    <w:tmpl w:val="FE14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43679C"/>
    <w:multiLevelType w:val="multilevel"/>
    <w:tmpl w:val="4476C3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F3C11"/>
    <w:multiLevelType w:val="hybridMultilevel"/>
    <w:tmpl w:val="4A46C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ACC55E0"/>
    <w:multiLevelType w:val="hybridMultilevel"/>
    <w:tmpl w:val="C96835DA"/>
    <w:lvl w:ilvl="0" w:tplc="1490227E">
      <w:start w:val="1"/>
      <w:numFmt w:val="bullet"/>
      <w:pStyle w:val="AHPRABulletlevel3"/>
      <w:lvlText w:val="o"/>
      <w:lvlJc w:val="left"/>
      <w:pPr>
        <w:ind w:left="1440" w:hanging="360"/>
      </w:pPr>
      <w:rPr>
        <w:rFonts w:ascii="Courier New" w:hAnsi="Courier New" w:cs="Courier New" w:hint="default"/>
      </w:rPr>
    </w:lvl>
    <w:lvl w:ilvl="1" w:tplc="C41885A4" w:tentative="1">
      <w:start w:val="1"/>
      <w:numFmt w:val="bullet"/>
      <w:lvlText w:val="o"/>
      <w:lvlJc w:val="left"/>
      <w:pPr>
        <w:ind w:left="2160" w:hanging="360"/>
      </w:pPr>
      <w:rPr>
        <w:rFonts w:ascii="Courier New" w:hAnsi="Courier New" w:cs="Courier New" w:hint="default"/>
      </w:rPr>
    </w:lvl>
    <w:lvl w:ilvl="2" w:tplc="4E187E2A" w:tentative="1">
      <w:start w:val="1"/>
      <w:numFmt w:val="bullet"/>
      <w:lvlText w:val=""/>
      <w:lvlJc w:val="left"/>
      <w:pPr>
        <w:ind w:left="2880" w:hanging="360"/>
      </w:pPr>
      <w:rPr>
        <w:rFonts w:ascii="Wingdings" w:hAnsi="Wingdings" w:hint="default"/>
      </w:rPr>
    </w:lvl>
    <w:lvl w:ilvl="3" w:tplc="907420B6" w:tentative="1">
      <w:start w:val="1"/>
      <w:numFmt w:val="bullet"/>
      <w:lvlText w:val=""/>
      <w:lvlJc w:val="left"/>
      <w:pPr>
        <w:ind w:left="3600" w:hanging="360"/>
      </w:pPr>
      <w:rPr>
        <w:rFonts w:ascii="Symbol" w:hAnsi="Symbol" w:hint="default"/>
      </w:rPr>
    </w:lvl>
    <w:lvl w:ilvl="4" w:tplc="5A002004" w:tentative="1">
      <w:start w:val="1"/>
      <w:numFmt w:val="bullet"/>
      <w:lvlText w:val="o"/>
      <w:lvlJc w:val="left"/>
      <w:pPr>
        <w:ind w:left="4320" w:hanging="360"/>
      </w:pPr>
      <w:rPr>
        <w:rFonts w:ascii="Courier New" w:hAnsi="Courier New" w:cs="Courier New" w:hint="default"/>
      </w:rPr>
    </w:lvl>
    <w:lvl w:ilvl="5" w:tplc="AD9E0A9C" w:tentative="1">
      <w:start w:val="1"/>
      <w:numFmt w:val="bullet"/>
      <w:lvlText w:val=""/>
      <w:lvlJc w:val="left"/>
      <w:pPr>
        <w:ind w:left="5040" w:hanging="360"/>
      </w:pPr>
      <w:rPr>
        <w:rFonts w:ascii="Wingdings" w:hAnsi="Wingdings" w:hint="default"/>
      </w:rPr>
    </w:lvl>
    <w:lvl w:ilvl="6" w:tplc="7FA68772" w:tentative="1">
      <w:start w:val="1"/>
      <w:numFmt w:val="bullet"/>
      <w:lvlText w:val=""/>
      <w:lvlJc w:val="left"/>
      <w:pPr>
        <w:ind w:left="5760" w:hanging="360"/>
      </w:pPr>
      <w:rPr>
        <w:rFonts w:ascii="Symbol" w:hAnsi="Symbol" w:hint="default"/>
      </w:rPr>
    </w:lvl>
    <w:lvl w:ilvl="7" w:tplc="9044E490" w:tentative="1">
      <w:start w:val="1"/>
      <w:numFmt w:val="bullet"/>
      <w:lvlText w:val="o"/>
      <w:lvlJc w:val="left"/>
      <w:pPr>
        <w:ind w:left="6480" w:hanging="360"/>
      </w:pPr>
      <w:rPr>
        <w:rFonts w:ascii="Courier New" w:hAnsi="Courier New" w:cs="Courier New" w:hint="default"/>
      </w:rPr>
    </w:lvl>
    <w:lvl w:ilvl="8" w:tplc="E38AA086" w:tentative="1">
      <w:start w:val="1"/>
      <w:numFmt w:val="bullet"/>
      <w:lvlText w:val=""/>
      <w:lvlJc w:val="left"/>
      <w:pPr>
        <w:ind w:left="7200" w:hanging="360"/>
      </w:pPr>
      <w:rPr>
        <w:rFonts w:ascii="Wingdings" w:hAnsi="Wingdings" w:hint="default"/>
      </w:rPr>
    </w:lvl>
  </w:abstractNum>
  <w:num w:numId="1">
    <w:abstractNumId w:val="25"/>
  </w:num>
  <w:num w:numId="2">
    <w:abstractNumId w:val="3"/>
  </w:num>
  <w:num w:numId="3">
    <w:abstractNumId w:val="6"/>
  </w:num>
  <w:num w:numId="4">
    <w:abstractNumId w:val="5"/>
  </w:num>
  <w:num w:numId="5">
    <w:abstractNumId w:val="21"/>
  </w:num>
  <w:num w:numId="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8"/>
  </w:num>
  <w:num w:numId="14">
    <w:abstractNumId w:val="16"/>
  </w:num>
  <w:num w:numId="15">
    <w:abstractNumId w:val="10"/>
  </w:num>
  <w:num w:numId="16">
    <w:abstractNumId w:val="17"/>
  </w:num>
  <w:num w:numId="17">
    <w:abstractNumId w:val="28"/>
  </w:num>
  <w:num w:numId="18">
    <w:abstractNumId w:val="13"/>
  </w:num>
  <w:num w:numId="19">
    <w:abstractNumId w:val="31"/>
  </w:num>
  <w:num w:numId="20">
    <w:abstractNumId w:val="11"/>
  </w:num>
  <w:num w:numId="21">
    <w:abstractNumId w:val="26"/>
  </w:num>
  <w:num w:numId="22">
    <w:abstractNumId w:val="15"/>
  </w:num>
  <w:num w:numId="23">
    <w:abstractNumId w:val="2"/>
  </w:num>
  <w:num w:numId="24">
    <w:abstractNumId w:val="9"/>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22"/>
  </w:num>
  <w:num w:numId="29">
    <w:abstractNumId w:val="14"/>
  </w:num>
  <w:num w:numId="30">
    <w:abstractNumId w:val="23"/>
  </w:num>
  <w:num w:numId="31">
    <w:abstractNumId w:val="24"/>
  </w:num>
  <w:num w:numId="32">
    <w:abstractNumId w:val="12"/>
  </w:num>
  <w:num w:numId="33">
    <w:abstractNumId w:val="25"/>
  </w:num>
  <w:num w:numId="34">
    <w:abstractNumId w:val="25"/>
  </w:num>
  <w:num w:numId="3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15"/>
    <w:rsid w:val="00000033"/>
    <w:rsid w:val="000064AF"/>
    <w:rsid w:val="00006922"/>
    <w:rsid w:val="000111B2"/>
    <w:rsid w:val="000220BD"/>
    <w:rsid w:val="00023904"/>
    <w:rsid w:val="000334D7"/>
    <w:rsid w:val="00036FD1"/>
    <w:rsid w:val="000528E2"/>
    <w:rsid w:val="00052A56"/>
    <w:rsid w:val="00052BF3"/>
    <w:rsid w:val="000542EA"/>
    <w:rsid w:val="00061983"/>
    <w:rsid w:val="00061A94"/>
    <w:rsid w:val="0006502D"/>
    <w:rsid w:val="0006545A"/>
    <w:rsid w:val="00071439"/>
    <w:rsid w:val="00071D70"/>
    <w:rsid w:val="00082158"/>
    <w:rsid w:val="00082456"/>
    <w:rsid w:val="00084391"/>
    <w:rsid w:val="000945FB"/>
    <w:rsid w:val="000A076C"/>
    <w:rsid w:val="000A0A2B"/>
    <w:rsid w:val="000A1543"/>
    <w:rsid w:val="000A6BF7"/>
    <w:rsid w:val="000C1B68"/>
    <w:rsid w:val="000C40BD"/>
    <w:rsid w:val="000C45EB"/>
    <w:rsid w:val="000C51FE"/>
    <w:rsid w:val="000D12D1"/>
    <w:rsid w:val="000D370F"/>
    <w:rsid w:val="000D5153"/>
    <w:rsid w:val="000E00BF"/>
    <w:rsid w:val="000E29C2"/>
    <w:rsid w:val="000E486F"/>
    <w:rsid w:val="000E6D3A"/>
    <w:rsid w:val="000E7326"/>
    <w:rsid w:val="000E7E28"/>
    <w:rsid w:val="000F5D90"/>
    <w:rsid w:val="000F71FB"/>
    <w:rsid w:val="001004CD"/>
    <w:rsid w:val="0010139F"/>
    <w:rsid w:val="00103B8C"/>
    <w:rsid w:val="00104F15"/>
    <w:rsid w:val="00107F83"/>
    <w:rsid w:val="0011487C"/>
    <w:rsid w:val="001436A5"/>
    <w:rsid w:val="00144DEF"/>
    <w:rsid w:val="00146F33"/>
    <w:rsid w:val="001506FE"/>
    <w:rsid w:val="00153ABF"/>
    <w:rsid w:val="00154404"/>
    <w:rsid w:val="001555FA"/>
    <w:rsid w:val="00162C6D"/>
    <w:rsid w:val="00177755"/>
    <w:rsid w:val="00180449"/>
    <w:rsid w:val="00180ECA"/>
    <w:rsid w:val="00182125"/>
    <w:rsid w:val="0018460B"/>
    <w:rsid w:val="001935B9"/>
    <w:rsid w:val="00196F14"/>
    <w:rsid w:val="001A59CD"/>
    <w:rsid w:val="001A72DF"/>
    <w:rsid w:val="001B4A4B"/>
    <w:rsid w:val="001C425C"/>
    <w:rsid w:val="001C5EAE"/>
    <w:rsid w:val="001C7C34"/>
    <w:rsid w:val="001D01AA"/>
    <w:rsid w:val="001D5AE6"/>
    <w:rsid w:val="001E1E31"/>
    <w:rsid w:val="001E2849"/>
    <w:rsid w:val="001E4A94"/>
    <w:rsid w:val="001E5621"/>
    <w:rsid w:val="002040A7"/>
    <w:rsid w:val="00207173"/>
    <w:rsid w:val="002101C8"/>
    <w:rsid w:val="002169EA"/>
    <w:rsid w:val="00220A3B"/>
    <w:rsid w:val="00224708"/>
    <w:rsid w:val="00224C22"/>
    <w:rsid w:val="0022736D"/>
    <w:rsid w:val="00227560"/>
    <w:rsid w:val="00240D52"/>
    <w:rsid w:val="00244A4B"/>
    <w:rsid w:val="00246A34"/>
    <w:rsid w:val="00252340"/>
    <w:rsid w:val="0026055D"/>
    <w:rsid w:val="002705CF"/>
    <w:rsid w:val="00273FA6"/>
    <w:rsid w:val="0028013F"/>
    <w:rsid w:val="0028469A"/>
    <w:rsid w:val="0028496C"/>
    <w:rsid w:val="00294EC4"/>
    <w:rsid w:val="00295B44"/>
    <w:rsid w:val="002A1B96"/>
    <w:rsid w:val="002A2417"/>
    <w:rsid w:val="002A25BC"/>
    <w:rsid w:val="002A45B4"/>
    <w:rsid w:val="002A6406"/>
    <w:rsid w:val="002B2D48"/>
    <w:rsid w:val="002B5DF7"/>
    <w:rsid w:val="002C08FB"/>
    <w:rsid w:val="002C32C3"/>
    <w:rsid w:val="002C34EA"/>
    <w:rsid w:val="002D0A9D"/>
    <w:rsid w:val="002D25DC"/>
    <w:rsid w:val="002D599C"/>
    <w:rsid w:val="002E1641"/>
    <w:rsid w:val="002E2EC4"/>
    <w:rsid w:val="002F2ED3"/>
    <w:rsid w:val="002F773E"/>
    <w:rsid w:val="00301BC0"/>
    <w:rsid w:val="00303BE1"/>
    <w:rsid w:val="003040CE"/>
    <w:rsid w:val="00305AFC"/>
    <w:rsid w:val="00307035"/>
    <w:rsid w:val="00310295"/>
    <w:rsid w:val="00312836"/>
    <w:rsid w:val="003246FD"/>
    <w:rsid w:val="00330D33"/>
    <w:rsid w:val="00331F9B"/>
    <w:rsid w:val="003354E4"/>
    <w:rsid w:val="00336B22"/>
    <w:rsid w:val="00337717"/>
    <w:rsid w:val="00354179"/>
    <w:rsid w:val="00354C75"/>
    <w:rsid w:val="00356E38"/>
    <w:rsid w:val="003600A9"/>
    <w:rsid w:val="00361DE0"/>
    <w:rsid w:val="003853D6"/>
    <w:rsid w:val="0039080F"/>
    <w:rsid w:val="00393516"/>
    <w:rsid w:val="00395920"/>
    <w:rsid w:val="003A09EC"/>
    <w:rsid w:val="003A38E9"/>
    <w:rsid w:val="003A4E0E"/>
    <w:rsid w:val="003B5E14"/>
    <w:rsid w:val="003C2E37"/>
    <w:rsid w:val="003C6B82"/>
    <w:rsid w:val="003D026F"/>
    <w:rsid w:val="003D0B3C"/>
    <w:rsid w:val="003D0CDC"/>
    <w:rsid w:val="003D2C65"/>
    <w:rsid w:val="003D6DBD"/>
    <w:rsid w:val="003D74E1"/>
    <w:rsid w:val="003D7A3C"/>
    <w:rsid w:val="003E00B5"/>
    <w:rsid w:val="003E3268"/>
    <w:rsid w:val="003E6BB2"/>
    <w:rsid w:val="003E6BE5"/>
    <w:rsid w:val="003F2F06"/>
    <w:rsid w:val="003F714C"/>
    <w:rsid w:val="00405C0A"/>
    <w:rsid w:val="00414AF0"/>
    <w:rsid w:val="00414F2C"/>
    <w:rsid w:val="00416F51"/>
    <w:rsid w:val="00422C99"/>
    <w:rsid w:val="004240C4"/>
    <w:rsid w:val="00426DEC"/>
    <w:rsid w:val="00426E01"/>
    <w:rsid w:val="00432CF1"/>
    <w:rsid w:val="00434385"/>
    <w:rsid w:val="004425EE"/>
    <w:rsid w:val="00444E3B"/>
    <w:rsid w:val="00450B34"/>
    <w:rsid w:val="004574B6"/>
    <w:rsid w:val="00460546"/>
    <w:rsid w:val="004606A7"/>
    <w:rsid w:val="00462F0F"/>
    <w:rsid w:val="004671AD"/>
    <w:rsid w:val="00485D46"/>
    <w:rsid w:val="0049166E"/>
    <w:rsid w:val="00492A99"/>
    <w:rsid w:val="00493295"/>
    <w:rsid w:val="004A21F7"/>
    <w:rsid w:val="004A5E5D"/>
    <w:rsid w:val="004B408A"/>
    <w:rsid w:val="004B438E"/>
    <w:rsid w:val="004B747B"/>
    <w:rsid w:val="004C0CAC"/>
    <w:rsid w:val="004C3625"/>
    <w:rsid w:val="004C6161"/>
    <w:rsid w:val="004C63AF"/>
    <w:rsid w:val="004D0ADC"/>
    <w:rsid w:val="004D19EE"/>
    <w:rsid w:val="004D596F"/>
    <w:rsid w:val="004D7537"/>
    <w:rsid w:val="004F2085"/>
    <w:rsid w:val="004F5C05"/>
    <w:rsid w:val="004F6C12"/>
    <w:rsid w:val="004F7F60"/>
    <w:rsid w:val="005056B4"/>
    <w:rsid w:val="0051051F"/>
    <w:rsid w:val="005112C8"/>
    <w:rsid w:val="00516EF2"/>
    <w:rsid w:val="00520AD6"/>
    <w:rsid w:val="00527316"/>
    <w:rsid w:val="00530BFF"/>
    <w:rsid w:val="00531C96"/>
    <w:rsid w:val="00535184"/>
    <w:rsid w:val="00536999"/>
    <w:rsid w:val="0053749F"/>
    <w:rsid w:val="005464FE"/>
    <w:rsid w:val="00546B56"/>
    <w:rsid w:val="005518A4"/>
    <w:rsid w:val="00553A4C"/>
    <w:rsid w:val="00554335"/>
    <w:rsid w:val="005565CE"/>
    <w:rsid w:val="0056325D"/>
    <w:rsid w:val="00565BBC"/>
    <w:rsid w:val="005708AE"/>
    <w:rsid w:val="0057750C"/>
    <w:rsid w:val="00580A5B"/>
    <w:rsid w:val="005826C0"/>
    <w:rsid w:val="005837B9"/>
    <w:rsid w:val="00586F30"/>
    <w:rsid w:val="00590E45"/>
    <w:rsid w:val="005A0D8A"/>
    <w:rsid w:val="005A0FA9"/>
    <w:rsid w:val="005A507F"/>
    <w:rsid w:val="005C5932"/>
    <w:rsid w:val="005C6817"/>
    <w:rsid w:val="005D00FC"/>
    <w:rsid w:val="005D06D7"/>
    <w:rsid w:val="005D0CF3"/>
    <w:rsid w:val="005E0245"/>
    <w:rsid w:val="005E2D27"/>
    <w:rsid w:val="005F0741"/>
    <w:rsid w:val="005F393C"/>
    <w:rsid w:val="005F3941"/>
    <w:rsid w:val="005F6786"/>
    <w:rsid w:val="005F720C"/>
    <w:rsid w:val="00606FEF"/>
    <w:rsid w:val="00607681"/>
    <w:rsid w:val="00616043"/>
    <w:rsid w:val="00622247"/>
    <w:rsid w:val="00622692"/>
    <w:rsid w:val="00634696"/>
    <w:rsid w:val="00636121"/>
    <w:rsid w:val="00636F0E"/>
    <w:rsid w:val="00640B2C"/>
    <w:rsid w:val="00640F9F"/>
    <w:rsid w:val="006413B9"/>
    <w:rsid w:val="0064226A"/>
    <w:rsid w:val="00644E17"/>
    <w:rsid w:val="0065012C"/>
    <w:rsid w:val="00652069"/>
    <w:rsid w:val="006600F0"/>
    <w:rsid w:val="00663E87"/>
    <w:rsid w:val="00666B15"/>
    <w:rsid w:val="00667CAD"/>
    <w:rsid w:val="00670F48"/>
    <w:rsid w:val="00671A68"/>
    <w:rsid w:val="00672A98"/>
    <w:rsid w:val="00674236"/>
    <w:rsid w:val="00681D5E"/>
    <w:rsid w:val="006860F2"/>
    <w:rsid w:val="006870F9"/>
    <w:rsid w:val="006965AE"/>
    <w:rsid w:val="006A0304"/>
    <w:rsid w:val="006A52C3"/>
    <w:rsid w:val="006A61C1"/>
    <w:rsid w:val="006B6129"/>
    <w:rsid w:val="006B7B79"/>
    <w:rsid w:val="006C0257"/>
    <w:rsid w:val="006C0E29"/>
    <w:rsid w:val="006C54F4"/>
    <w:rsid w:val="006C6C13"/>
    <w:rsid w:val="006C786E"/>
    <w:rsid w:val="006D30FE"/>
    <w:rsid w:val="006D3757"/>
    <w:rsid w:val="006D45FD"/>
    <w:rsid w:val="006D6D35"/>
    <w:rsid w:val="006E19CD"/>
    <w:rsid w:val="006F262E"/>
    <w:rsid w:val="006F3204"/>
    <w:rsid w:val="006F585B"/>
    <w:rsid w:val="006F67A0"/>
    <w:rsid w:val="006F7348"/>
    <w:rsid w:val="006F796D"/>
    <w:rsid w:val="006F7D9B"/>
    <w:rsid w:val="0070155F"/>
    <w:rsid w:val="0071188D"/>
    <w:rsid w:val="00712D1C"/>
    <w:rsid w:val="007174AF"/>
    <w:rsid w:val="00723CE4"/>
    <w:rsid w:val="00732F0B"/>
    <w:rsid w:val="007372A4"/>
    <w:rsid w:val="00741B04"/>
    <w:rsid w:val="00743DD2"/>
    <w:rsid w:val="00750FCF"/>
    <w:rsid w:val="007543C5"/>
    <w:rsid w:val="00756249"/>
    <w:rsid w:val="0075638C"/>
    <w:rsid w:val="0076115C"/>
    <w:rsid w:val="007630A4"/>
    <w:rsid w:val="00764922"/>
    <w:rsid w:val="00766393"/>
    <w:rsid w:val="007664F3"/>
    <w:rsid w:val="00771C13"/>
    <w:rsid w:val="007840D7"/>
    <w:rsid w:val="007849A7"/>
    <w:rsid w:val="00786108"/>
    <w:rsid w:val="00787ABD"/>
    <w:rsid w:val="007907EC"/>
    <w:rsid w:val="007913C0"/>
    <w:rsid w:val="0079197C"/>
    <w:rsid w:val="007A35B9"/>
    <w:rsid w:val="007A64E7"/>
    <w:rsid w:val="007B47C5"/>
    <w:rsid w:val="007B77D6"/>
    <w:rsid w:val="007C0B6E"/>
    <w:rsid w:val="007D008B"/>
    <w:rsid w:val="007D10E6"/>
    <w:rsid w:val="007D4836"/>
    <w:rsid w:val="007E2331"/>
    <w:rsid w:val="007E2C84"/>
    <w:rsid w:val="007E3545"/>
    <w:rsid w:val="007F0095"/>
    <w:rsid w:val="007F61FC"/>
    <w:rsid w:val="00817334"/>
    <w:rsid w:val="00820D1A"/>
    <w:rsid w:val="00821D22"/>
    <w:rsid w:val="008240F4"/>
    <w:rsid w:val="008261CB"/>
    <w:rsid w:val="008338F7"/>
    <w:rsid w:val="00833FE5"/>
    <w:rsid w:val="008340C0"/>
    <w:rsid w:val="00836397"/>
    <w:rsid w:val="00836B19"/>
    <w:rsid w:val="00841DE9"/>
    <w:rsid w:val="00845054"/>
    <w:rsid w:val="008458DE"/>
    <w:rsid w:val="008471E9"/>
    <w:rsid w:val="00852D1C"/>
    <w:rsid w:val="00855890"/>
    <w:rsid w:val="00855EE5"/>
    <w:rsid w:val="00856147"/>
    <w:rsid w:val="00860F40"/>
    <w:rsid w:val="008615C9"/>
    <w:rsid w:val="008626DB"/>
    <w:rsid w:val="00864020"/>
    <w:rsid w:val="00864173"/>
    <w:rsid w:val="00865C62"/>
    <w:rsid w:val="00873920"/>
    <w:rsid w:val="0087493F"/>
    <w:rsid w:val="008805EB"/>
    <w:rsid w:val="008979D5"/>
    <w:rsid w:val="008A2A8D"/>
    <w:rsid w:val="008A4C3B"/>
    <w:rsid w:val="008A56B3"/>
    <w:rsid w:val="008B2AD7"/>
    <w:rsid w:val="008C5F92"/>
    <w:rsid w:val="008C6376"/>
    <w:rsid w:val="008D31BA"/>
    <w:rsid w:val="008D6B7E"/>
    <w:rsid w:val="008D742B"/>
    <w:rsid w:val="008D7586"/>
    <w:rsid w:val="008D7845"/>
    <w:rsid w:val="008E79C8"/>
    <w:rsid w:val="008F0686"/>
    <w:rsid w:val="008F1838"/>
    <w:rsid w:val="008F1E77"/>
    <w:rsid w:val="008F26ED"/>
    <w:rsid w:val="008F5018"/>
    <w:rsid w:val="008F5D89"/>
    <w:rsid w:val="008F7649"/>
    <w:rsid w:val="009031EA"/>
    <w:rsid w:val="0090396D"/>
    <w:rsid w:val="00910636"/>
    <w:rsid w:val="009128EB"/>
    <w:rsid w:val="009138F9"/>
    <w:rsid w:val="0091516A"/>
    <w:rsid w:val="0092054F"/>
    <w:rsid w:val="00923B23"/>
    <w:rsid w:val="009255BD"/>
    <w:rsid w:val="00932B8B"/>
    <w:rsid w:val="00936443"/>
    <w:rsid w:val="00937ED0"/>
    <w:rsid w:val="00941EA6"/>
    <w:rsid w:val="00943032"/>
    <w:rsid w:val="00944DA7"/>
    <w:rsid w:val="009465D4"/>
    <w:rsid w:val="00952797"/>
    <w:rsid w:val="00960724"/>
    <w:rsid w:val="009647C5"/>
    <w:rsid w:val="00967215"/>
    <w:rsid w:val="009737ED"/>
    <w:rsid w:val="0097449E"/>
    <w:rsid w:val="009764B6"/>
    <w:rsid w:val="009766B4"/>
    <w:rsid w:val="009777D3"/>
    <w:rsid w:val="00981ED0"/>
    <w:rsid w:val="009830E5"/>
    <w:rsid w:val="00984E15"/>
    <w:rsid w:val="009859E6"/>
    <w:rsid w:val="00991263"/>
    <w:rsid w:val="009A0645"/>
    <w:rsid w:val="009A0A5D"/>
    <w:rsid w:val="009A694F"/>
    <w:rsid w:val="009A7957"/>
    <w:rsid w:val="009C3EEA"/>
    <w:rsid w:val="009C5C4D"/>
    <w:rsid w:val="009C6933"/>
    <w:rsid w:val="009C7445"/>
    <w:rsid w:val="009D0759"/>
    <w:rsid w:val="009D60D5"/>
    <w:rsid w:val="009E08DD"/>
    <w:rsid w:val="009E4D57"/>
    <w:rsid w:val="009E5942"/>
    <w:rsid w:val="009F3F6B"/>
    <w:rsid w:val="009F648A"/>
    <w:rsid w:val="009F6BAF"/>
    <w:rsid w:val="009F7BC2"/>
    <w:rsid w:val="00A04C7A"/>
    <w:rsid w:val="00A058E5"/>
    <w:rsid w:val="00A05C5C"/>
    <w:rsid w:val="00A0699D"/>
    <w:rsid w:val="00A10C1A"/>
    <w:rsid w:val="00A10F51"/>
    <w:rsid w:val="00A127F8"/>
    <w:rsid w:val="00A2072E"/>
    <w:rsid w:val="00A237BB"/>
    <w:rsid w:val="00A41D89"/>
    <w:rsid w:val="00A44A9E"/>
    <w:rsid w:val="00A44B7F"/>
    <w:rsid w:val="00A458ED"/>
    <w:rsid w:val="00A509AB"/>
    <w:rsid w:val="00A519CC"/>
    <w:rsid w:val="00A52238"/>
    <w:rsid w:val="00A63991"/>
    <w:rsid w:val="00A6681D"/>
    <w:rsid w:val="00A76BFC"/>
    <w:rsid w:val="00A802C1"/>
    <w:rsid w:val="00A82078"/>
    <w:rsid w:val="00A838C8"/>
    <w:rsid w:val="00A85B14"/>
    <w:rsid w:val="00A86D88"/>
    <w:rsid w:val="00A91C42"/>
    <w:rsid w:val="00A91ED9"/>
    <w:rsid w:val="00A9516B"/>
    <w:rsid w:val="00A96861"/>
    <w:rsid w:val="00A9780A"/>
    <w:rsid w:val="00AA00AF"/>
    <w:rsid w:val="00AA2FC9"/>
    <w:rsid w:val="00AA5317"/>
    <w:rsid w:val="00AA619E"/>
    <w:rsid w:val="00AA63F1"/>
    <w:rsid w:val="00AB283D"/>
    <w:rsid w:val="00AB3A62"/>
    <w:rsid w:val="00AB41D8"/>
    <w:rsid w:val="00AC639B"/>
    <w:rsid w:val="00AC663C"/>
    <w:rsid w:val="00AC682E"/>
    <w:rsid w:val="00AD312E"/>
    <w:rsid w:val="00AD414B"/>
    <w:rsid w:val="00AD6F37"/>
    <w:rsid w:val="00AD7FB4"/>
    <w:rsid w:val="00AE3EAF"/>
    <w:rsid w:val="00AE4000"/>
    <w:rsid w:val="00AF73D2"/>
    <w:rsid w:val="00B024B0"/>
    <w:rsid w:val="00B03464"/>
    <w:rsid w:val="00B03F8D"/>
    <w:rsid w:val="00B045ED"/>
    <w:rsid w:val="00B104B9"/>
    <w:rsid w:val="00B1165B"/>
    <w:rsid w:val="00B14866"/>
    <w:rsid w:val="00B1527A"/>
    <w:rsid w:val="00B169C7"/>
    <w:rsid w:val="00B30257"/>
    <w:rsid w:val="00B3462E"/>
    <w:rsid w:val="00B34EDA"/>
    <w:rsid w:val="00B35A87"/>
    <w:rsid w:val="00B40615"/>
    <w:rsid w:val="00B4252E"/>
    <w:rsid w:val="00B4304B"/>
    <w:rsid w:val="00B465D2"/>
    <w:rsid w:val="00B472F0"/>
    <w:rsid w:val="00B50797"/>
    <w:rsid w:val="00B51241"/>
    <w:rsid w:val="00B51748"/>
    <w:rsid w:val="00B532C6"/>
    <w:rsid w:val="00B540B5"/>
    <w:rsid w:val="00B57198"/>
    <w:rsid w:val="00B72EAE"/>
    <w:rsid w:val="00B75F45"/>
    <w:rsid w:val="00B821B5"/>
    <w:rsid w:val="00B8230B"/>
    <w:rsid w:val="00B82990"/>
    <w:rsid w:val="00B83C48"/>
    <w:rsid w:val="00B85023"/>
    <w:rsid w:val="00B86FAF"/>
    <w:rsid w:val="00B92E72"/>
    <w:rsid w:val="00BA1216"/>
    <w:rsid w:val="00BA2456"/>
    <w:rsid w:val="00BA469B"/>
    <w:rsid w:val="00BA4D6E"/>
    <w:rsid w:val="00BB4A5B"/>
    <w:rsid w:val="00BB7249"/>
    <w:rsid w:val="00BC1CBC"/>
    <w:rsid w:val="00BC3584"/>
    <w:rsid w:val="00BC635C"/>
    <w:rsid w:val="00BC7AE8"/>
    <w:rsid w:val="00BD7B0E"/>
    <w:rsid w:val="00BE238C"/>
    <w:rsid w:val="00BE2CAA"/>
    <w:rsid w:val="00BF2534"/>
    <w:rsid w:val="00BF2880"/>
    <w:rsid w:val="00BF79DC"/>
    <w:rsid w:val="00C0009B"/>
    <w:rsid w:val="00C00B73"/>
    <w:rsid w:val="00C019E3"/>
    <w:rsid w:val="00C05016"/>
    <w:rsid w:val="00C2594A"/>
    <w:rsid w:val="00C300B0"/>
    <w:rsid w:val="00C34263"/>
    <w:rsid w:val="00C35DE1"/>
    <w:rsid w:val="00C3795C"/>
    <w:rsid w:val="00C37DF8"/>
    <w:rsid w:val="00C4453E"/>
    <w:rsid w:val="00C51274"/>
    <w:rsid w:val="00C51B7E"/>
    <w:rsid w:val="00C524AA"/>
    <w:rsid w:val="00C54689"/>
    <w:rsid w:val="00C7035B"/>
    <w:rsid w:val="00C720FC"/>
    <w:rsid w:val="00C73913"/>
    <w:rsid w:val="00C81590"/>
    <w:rsid w:val="00C81B3A"/>
    <w:rsid w:val="00C84AE0"/>
    <w:rsid w:val="00C85A14"/>
    <w:rsid w:val="00C90915"/>
    <w:rsid w:val="00CB0549"/>
    <w:rsid w:val="00CB59CB"/>
    <w:rsid w:val="00CB6C08"/>
    <w:rsid w:val="00CC67EB"/>
    <w:rsid w:val="00CC6E74"/>
    <w:rsid w:val="00CC7AE2"/>
    <w:rsid w:val="00CD0A9A"/>
    <w:rsid w:val="00CD0DCA"/>
    <w:rsid w:val="00CE1694"/>
    <w:rsid w:val="00CE21A3"/>
    <w:rsid w:val="00CE5855"/>
    <w:rsid w:val="00CF2D27"/>
    <w:rsid w:val="00CF70A2"/>
    <w:rsid w:val="00D003B8"/>
    <w:rsid w:val="00D00A9B"/>
    <w:rsid w:val="00D0181B"/>
    <w:rsid w:val="00D11268"/>
    <w:rsid w:val="00D12F61"/>
    <w:rsid w:val="00D201C6"/>
    <w:rsid w:val="00D320EB"/>
    <w:rsid w:val="00D36DC5"/>
    <w:rsid w:val="00D41FE0"/>
    <w:rsid w:val="00D42E37"/>
    <w:rsid w:val="00D44A12"/>
    <w:rsid w:val="00D476D0"/>
    <w:rsid w:val="00D544E0"/>
    <w:rsid w:val="00D55C35"/>
    <w:rsid w:val="00D5775C"/>
    <w:rsid w:val="00D63543"/>
    <w:rsid w:val="00D638E0"/>
    <w:rsid w:val="00D64098"/>
    <w:rsid w:val="00D65016"/>
    <w:rsid w:val="00D716BA"/>
    <w:rsid w:val="00D720FF"/>
    <w:rsid w:val="00D72C3E"/>
    <w:rsid w:val="00D769B1"/>
    <w:rsid w:val="00D76BC0"/>
    <w:rsid w:val="00D83C90"/>
    <w:rsid w:val="00D8404D"/>
    <w:rsid w:val="00D84618"/>
    <w:rsid w:val="00D8587E"/>
    <w:rsid w:val="00D862D0"/>
    <w:rsid w:val="00D87C12"/>
    <w:rsid w:val="00D87FD7"/>
    <w:rsid w:val="00D97164"/>
    <w:rsid w:val="00DA0CC1"/>
    <w:rsid w:val="00DA5C37"/>
    <w:rsid w:val="00DB191A"/>
    <w:rsid w:val="00DC2952"/>
    <w:rsid w:val="00DC3FB8"/>
    <w:rsid w:val="00DF062D"/>
    <w:rsid w:val="00DF1AB7"/>
    <w:rsid w:val="00DF52F6"/>
    <w:rsid w:val="00E0034B"/>
    <w:rsid w:val="00E034EB"/>
    <w:rsid w:val="00E07C02"/>
    <w:rsid w:val="00E10472"/>
    <w:rsid w:val="00E112BA"/>
    <w:rsid w:val="00E11540"/>
    <w:rsid w:val="00E12B06"/>
    <w:rsid w:val="00E15BF6"/>
    <w:rsid w:val="00E2201B"/>
    <w:rsid w:val="00E4095B"/>
    <w:rsid w:val="00E44095"/>
    <w:rsid w:val="00E4514A"/>
    <w:rsid w:val="00E478BD"/>
    <w:rsid w:val="00E53702"/>
    <w:rsid w:val="00E54005"/>
    <w:rsid w:val="00E5401E"/>
    <w:rsid w:val="00E700D5"/>
    <w:rsid w:val="00E71CB9"/>
    <w:rsid w:val="00E73698"/>
    <w:rsid w:val="00E75933"/>
    <w:rsid w:val="00E77E23"/>
    <w:rsid w:val="00E804D5"/>
    <w:rsid w:val="00E8251C"/>
    <w:rsid w:val="00E844A0"/>
    <w:rsid w:val="00E862B8"/>
    <w:rsid w:val="00EA1841"/>
    <w:rsid w:val="00EA248E"/>
    <w:rsid w:val="00EA25EA"/>
    <w:rsid w:val="00EB15B1"/>
    <w:rsid w:val="00EC1A17"/>
    <w:rsid w:val="00EC1AE1"/>
    <w:rsid w:val="00ED0DEC"/>
    <w:rsid w:val="00ED2159"/>
    <w:rsid w:val="00ED4D5E"/>
    <w:rsid w:val="00EE5945"/>
    <w:rsid w:val="00EE6824"/>
    <w:rsid w:val="00EF5DE0"/>
    <w:rsid w:val="00F100D4"/>
    <w:rsid w:val="00F13ED2"/>
    <w:rsid w:val="00F1535A"/>
    <w:rsid w:val="00F1585B"/>
    <w:rsid w:val="00F15E84"/>
    <w:rsid w:val="00F17D96"/>
    <w:rsid w:val="00F27ACB"/>
    <w:rsid w:val="00F34FE1"/>
    <w:rsid w:val="00F3616F"/>
    <w:rsid w:val="00F370D3"/>
    <w:rsid w:val="00F40047"/>
    <w:rsid w:val="00F406C6"/>
    <w:rsid w:val="00F4674C"/>
    <w:rsid w:val="00F46BF2"/>
    <w:rsid w:val="00F47B7E"/>
    <w:rsid w:val="00F5033A"/>
    <w:rsid w:val="00F51506"/>
    <w:rsid w:val="00F54900"/>
    <w:rsid w:val="00F60BE8"/>
    <w:rsid w:val="00F6418D"/>
    <w:rsid w:val="00F6618F"/>
    <w:rsid w:val="00F66980"/>
    <w:rsid w:val="00F70CC4"/>
    <w:rsid w:val="00F70DD5"/>
    <w:rsid w:val="00F73165"/>
    <w:rsid w:val="00F740CD"/>
    <w:rsid w:val="00F7564C"/>
    <w:rsid w:val="00F76B61"/>
    <w:rsid w:val="00F76CBA"/>
    <w:rsid w:val="00F80A86"/>
    <w:rsid w:val="00F85C24"/>
    <w:rsid w:val="00F90BCE"/>
    <w:rsid w:val="00F90C93"/>
    <w:rsid w:val="00F9328C"/>
    <w:rsid w:val="00F96421"/>
    <w:rsid w:val="00FA46FC"/>
    <w:rsid w:val="00FB2183"/>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9027B"/>
  <w15:docId w15:val="{F7D726B3-F09D-4AA8-BD50-973282F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link w:val="AHPRABulletlevel1Char"/>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uiPriority w:val="99"/>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 w:type="paragraph" w:customStyle="1" w:styleId="AHPRABulletlevel3">
    <w:name w:val="AHPRA Bullet level 3"/>
    <w:basedOn w:val="Normal"/>
    <w:rsid w:val="00CB59CB"/>
    <w:pPr>
      <w:numPr>
        <w:numId w:val="19"/>
      </w:numPr>
      <w:spacing w:before="0" w:after="0"/>
      <w:ind w:left="1106" w:hanging="369"/>
    </w:pPr>
    <w:rPr>
      <w:rFonts w:cs="Times New Roman"/>
      <w:lang w:val="en-US"/>
    </w:rPr>
  </w:style>
  <w:style w:type="paragraph" w:customStyle="1" w:styleId="AHPRAbodyContextparanumbered">
    <w:name w:val="AHPRA body 'Context' para numbered"/>
    <w:basedOn w:val="AHPRAbody"/>
    <w:uiPriority w:val="1"/>
    <w:qFormat/>
    <w:rsid w:val="0006502D"/>
    <w:pPr>
      <w:numPr>
        <w:numId w:val="24"/>
      </w:numPr>
      <w:ind w:left="0" w:hanging="425"/>
    </w:pPr>
    <w:rPr>
      <w:rFonts w:cs="Arial"/>
    </w:rPr>
  </w:style>
  <w:style w:type="character" w:customStyle="1" w:styleId="AHPRABulletlevel1Char">
    <w:name w:val="AHPRA Bullet level 1 Char"/>
    <w:basedOn w:val="DefaultParagraphFont"/>
    <w:link w:val="AHPRABulletlevel1"/>
    <w:locked/>
    <w:rsid w:val="003600A9"/>
    <w:rPr>
      <w:szCs w:val="24"/>
      <w:lang w:val="en-AU"/>
    </w:rPr>
  </w:style>
  <w:style w:type="character" w:styleId="Emphasis">
    <w:name w:val="Emphasis"/>
    <w:basedOn w:val="DefaultParagraphFont"/>
    <w:uiPriority w:val="20"/>
    <w:qFormat/>
    <w:rsid w:val="0006545A"/>
    <w:rPr>
      <w:i/>
      <w:iCs/>
    </w:rPr>
  </w:style>
  <w:style w:type="character" w:customStyle="1" w:styleId="apple-converted-space">
    <w:name w:val="apple-converted-space"/>
    <w:basedOn w:val="DefaultParagraphFont"/>
    <w:rsid w:val="00636121"/>
  </w:style>
  <w:style w:type="paragraph" w:styleId="NormalWeb">
    <w:name w:val="Normal (Web)"/>
    <w:basedOn w:val="Normal"/>
    <w:uiPriority w:val="99"/>
    <w:semiHidden/>
    <w:unhideWhenUsed/>
    <w:rsid w:val="000A0A2B"/>
    <w:pPr>
      <w:spacing w:before="0" w:after="86"/>
    </w:pPr>
    <w:rPr>
      <w:rFonts w:ascii="Times New Roman" w:eastAsia="Times New Roman" w:hAnsi="Times New Roman" w:cs="Times New Roman"/>
      <w:sz w:val="24"/>
      <w:lang w:val="en-US"/>
    </w:rPr>
  </w:style>
  <w:style w:type="character" w:customStyle="1" w:styleId="UnresolvedMention1">
    <w:name w:val="Unresolved Mention1"/>
    <w:basedOn w:val="DefaultParagraphFont"/>
    <w:uiPriority w:val="99"/>
    <w:semiHidden/>
    <w:unhideWhenUsed/>
    <w:rsid w:val="00273FA6"/>
    <w:rPr>
      <w:color w:val="808080"/>
      <w:shd w:val="clear" w:color="auto" w:fill="E6E6E6"/>
    </w:rPr>
  </w:style>
  <w:style w:type="paragraph" w:customStyle="1" w:styleId="m-7111329056113618702ahprasubhead">
    <w:name w:val="m_-7111329056113618702ahprasubhead"/>
    <w:basedOn w:val="Normal"/>
    <w:rsid w:val="00492A99"/>
    <w:pPr>
      <w:spacing w:before="100" w:beforeAutospacing="1" w:after="100" w:afterAutospacing="1"/>
    </w:pPr>
    <w:rPr>
      <w:rFonts w:ascii="Times New Roman" w:hAnsi="Times New Roman" w:cs="Times New Roman"/>
      <w:sz w:val="24"/>
      <w:lang w:val="en-US"/>
    </w:rPr>
  </w:style>
  <w:style w:type="paragraph" w:customStyle="1" w:styleId="m-7111329056113618702ahprabody">
    <w:name w:val="m_-7111329056113618702ahprabody"/>
    <w:basedOn w:val="Normal"/>
    <w:rsid w:val="00492A99"/>
    <w:pPr>
      <w:spacing w:before="100" w:beforeAutospacing="1" w:after="100" w:afterAutospacing="1"/>
    </w:pPr>
    <w:rPr>
      <w:rFonts w:ascii="Times New Roman" w:hAnsi="Times New Roman" w:cs="Times New Roman"/>
      <w:sz w:val="24"/>
      <w:lang w:val="en-US"/>
    </w:rPr>
  </w:style>
  <w:style w:type="paragraph" w:customStyle="1" w:styleId="m-7111329056113618702ahprabulletlevel1">
    <w:name w:val="m_-7111329056113618702ahprabulletlevel1"/>
    <w:basedOn w:val="Normal"/>
    <w:rsid w:val="00492A99"/>
    <w:pPr>
      <w:spacing w:before="100" w:beforeAutospacing="1" w:after="100" w:afterAutospacing="1"/>
    </w:pPr>
    <w:rPr>
      <w:rFonts w:ascii="Times New Roman" w:hAnsi="Times New Roman" w:cs="Times New Roman"/>
      <w:sz w:val="24"/>
      <w:lang w:val="en-US"/>
    </w:rPr>
  </w:style>
  <w:style w:type="character" w:styleId="UnresolvedMention">
    <w:name w:val="Unresolved Mention"/>
    <w:basedOn w:val="DefaultParagraphFont"/>
    <w:rsid w:val="00DA0C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6174">
      <w:bodyDiv w:val="1"/>
      <w:marLeft w:val="0"/>
      <w:marRight w:val="0"/>
      <w:marTop w:val="0"/>
      <w:marBottom w:val="0"/>
      <w:divBdr>
        <w:top w:val="none" w:sz="0" w:space="0" w:color="auto"/>
        <w:left w:val="none" w:sz="0" w:space="0" w:color="auto"/>
        <w:bottom w:val="none" w:sz="0" w:space="0" w:color="auto"/>
        <w:right w:val="none" w:sz="0" w:space="0" w:color="auto"/>
      </w:divBdr>
    </w:div>
    <w:div w:id="108403744">
      <w:bodyDiv w:val="1"/>
      <w:marLeft w:val="0"/>
      <w:marRight w:val="0"/>
      <w:marTop w:val="0"/>
      <w:marBottom w:val="0"/>
      <w:divBdr>
        <w:top w:val="none" w:sz="0" w:space="0" w:color="auto"/>
        <w:left w:val="none" w:sz="0" w:space="0" w:color="auto"/>
        <w:bottom w:val="none" w:sz="0" w:space="0" w:color="auto"/>
        <w:right w:val="none" w:sz="0" w:space="0" w:color="auto"/>
      </w:divBdr>
    </w:div>
    <w:div w:id="118112644">
      <w:bodyDiv w:val="1"/>
      <w:marLeft w:val="0"/>
      <w:marRight w:val="0"/>
      <w:marTop w:val="0"/>
      <w:marBottom w:val="0"/>
      <w:divBdr>
        <w:top w:val="none" w:sz="0" w:space="0" w:color="auto"/>
        <w:left w:val="none" w:sz="0" w:space="0" w:color="auto"/>
        <w:bottom w:val="none" w:sz="0" w:space="0" w:color="auto"/>
        <w:right w:val="none" w:sz="0" w:space="0" w:color="auto"/>
      </w:divBdr>
    </w:div>
    <w:div w:id="261379583">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35110651">
      <w:bodyDiv w:val="1"/>
      <w:marLeft w:val="0"/>
      <w:marRight w:val="0"/>
      <w:marTop w:val="0"/>
      <w:marBottom w:val="0"/>
      <w:divBdr>
        <w:top w:val="none" w:sz="0" w:space="0" w:color="auto"/>
        <w:left w:val="none" w:sz="0" w:space="0" w:color="auto"/>
        <w:bottom w:val="none" w:sz="0" w:space="0" w:color="auto"/>
        <w:right w:val="none" w:sz="0" w:space="0" w:color="auto"/>
      </w:divBdr>
    </w:div>
    <w:div w:id="649485295">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4097">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9280790">
      <w:bodyDiv w:val="1"/>
      <w:marLeft w:val="0"/>
      <w:marRight w:val="0"/>
      <w:marTop w:val="0"/>
      <w:marBottom w:val="0"/>
      <w:divBdr>
        <w:top w:val="none" w:sz="0" w:space="0" w:color="auto"/>
        <w:left w:val="none" w:sz="0" w:space="0" w:color="auto"/>
        <w:bottom w:val="none" w:sz="0" w:space="0" w:color="auto"/>
        <w:right w:val="none" w:sz="0" w:space="0" w:color="auto"/>
      </w:divBdr>
    </w:div>
    <w:div w:id="777799281">
      <w:bodyDiv w:val="1"/>
      <w:marLeft w:val="0"/>
      <w:marRight w:val="0"/>
      <w:marTop w:val="0"/>
      <w:marBottom w:val="0"/>
      <w:divBdr>
        <w:top w:val="none" w:sz="0" w:space="0" w:color="auto"/>
        <w:left w:val="none" w:sz="0" w:space="0" w:color="auto"/>
        <w:bottom w:val="none" w:sz="0" w:space="0" w:color="auto"/>
        <w:right w:val="none" w:sz="0" w:space="0" w:color="auto"/>
      </w:divBdr>
    </w:div>
    <w:div w:id="794828856">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5707431">
      <w:bodyDiv w:val="1"/>
      <w:marLeft w:val="0"/>
      <w:marRight w:val="0"/>
      <w:marTop w:val="0"/>
      <w:marBottom w:val="0"/>
      <w:divBdr>
        <w:top w:val="none" w:sz="0" w:space="0" w:color="auto"/>
        <w:left w:val="none" w:sz="0" w:space="0" w:color="auto"/>
        <w:bottom w:val="none" w:sz="0" w:space="0" w:color="auto"/>
        <w:right w:val="none" w:sz="0" w:space="0" w:color="auto"/>
      </w:divBdr>
    </w:div>
    <w:div w:id="897127597">
      <w:bodyDiv w:val="1"/>
      <w:marLeft w:val="0"/>
      <w:marRight w:val="0"/>
      <w:marTop w:val="0"/>
      <w:marBottom w:val="0"/>
      <w:divBdr>
        <w:top w:val="none" w:sz="0" w:space="0" w:color="auto"/>
        <w:left w:val="none" w:sz="0" w:space="0" w:color="auto"/>
        <w:bottom w:val="none" w:sz="0" w:space="0" w:color="auto"/>
        <w:right w:val="none" w:sz="0" w:space="0" w:color="auto"/>
      </w:divBdr>
    </w:div>
    <w:div w:id="921722060">
      <w:bodyDiv w:val="1"/>
      <w:marLeft w:val="0"/>
      <w:marRight w:val="0"/>
      <w:marTop w:val="0"/>
      <w:marBottom w:val="0"/>
      <w:divBdr>
        <w:top w:val="none" w:sz="0" w:space="0" w:color="auto"/>
        <w:left w:val="none" w:sz="0" w:space="0" w:color="auto"/>
        <w:bottom w:val="none" w:sz="0" w:space="0" w:color="auto"/>
        <w:right w:val="none" w:sz="0" w:space="0" w:color="auto"/>
      </w:divBdr>
      <w:divsChild>
        <w:div w:id="1370304293">
          <w:marLeft w:val="0"/>
          <w:marRight w:val="0"/>
          <w:marTop w:val="0"/>
          <w:marBottom w:val="0"/>
          <w:divBdr>
            <w:top w:val="none" w:sz="0" w:space="0" w:color="auto"/>
            <w:left w:val="none" w:sz="0" w:space="0" w:color="auto"/>
            <w:bottom w:val="none" w:sz="0" w:space="0" w:color="auto"/>
            <w:right w:val="none" w:sz="0" w:space="0" w:color="auto"/>
          </w:divBdr>
          <w:divsChild>
            <w:div w:id="1140734592">
              <w:marLeft w:val="0"/>
              <w:marRight w:val="0"/>
              <w:marTop w:val="0"/>
              <w:marBottom w:val="0"/>
              <w:divBdr>
                <w:top w:val="none" w:sz="0" w:space="0" w:color="auto"/>
                <w:left w:val="none" w:sz="0" w:space="0" w:color="auto"/>
                <w:bottom w:val="none" w:sz="0" w:space="0" w:color="auto"/>
                <w:right w:val="none" w:sz="0" w:space="0" w:color="auto"/>
              </w:divBdr>
              <w:divsChild>
                <w:div w:id="1485052531">
                  <w:marLeft w:val="0"/>
                  <w:marRight w:val="0"/>
                  <w:marTop w:val="0"/>
                  <w:marBottom w:val="0"/>
                  <w:divBdr>
                    <w:top w:val="none" w:sz="0" w:space="0" w:color="auto"/>
                    <w:left w:val="none" w:sz="0" w:space="0" w:color="auto"/>
                    <w:bottom w:val="none" w:sz="0" w:space="0" w:color="auto"/>
                    <w:right w:val="none" w:sz="0" w:space="0" w:color="auto"/>
                  </w:divBdr>
                  <w:divsChild>
                    <w:div w:id="1714427891">
                      <w:marLeft w:val="0"/>
                      <w:marRight w:val="0"/>
                      <w:marTop w:val="0"/>
                      <w:marBottom w:val="0"/>
                      <w:divBdr>
                        <w:top w:val="none" w:sz="0" w:space="0" w:color="auto"/>
                        <w:left w:val="none" w:sz="0" w:space="0" w:color="auto"/>
                        <w:bottom w:val="none" w:sz="0" w:space="0" w:color="auto"/>
                        <w:right w:val="none" w:sz="0" w:space="0" w:color="auto"/>
                      </w:divBdr>
                      <w:divsChild>
                        <w:div w:id="288321246">
                          <w:marLeft w:val="0"/>
                          <w:marRight w:val="0"/>
                          <w:marTop w:val="0"/>
                          <w:marBottom w:val="0"/>
                          <w:divBdr>
                            <w:top w:val="none" w:sz="0" w:space="0" w:color="auto"/>
                            <w:left w:val="none" w:sz="0" w:space="0" w:color="auto"/>
                            <w:bottom w:val="none" w:sz="0" w:space="0" w:color="auto"/>
                            <w:right w:val="none" w:sz="0" w:space="0" w:color="auto"/>
                          </w:divBdr>
                          <w:divsChild>
                            <w:div w:id="1270818279">
                              <w:marLeft w:val="0"/>
                              <w:marRight w:val="0"/>
                              <w:marTop w:val="0"/>
                              <w:marBottom w:val="0"/>
                              <w:divBdr>
                                <w:top w:val="none" w:sz="0" w:space="0" w:color="auto"/>
                                <w:left w:val="none" w:sz="0" w:space="0" w:color="auto"/>
                                <w:bottom w:val="none" w:sz="0" w:space="0" w:color="auto"/>
                                <w:right w:val="none" w:sz="0" w:space="0" w:color="auto"/>
                              </w:divBdr>
                              <w:divsChild>
                                <w:div w:id="280378744">
                                  <w:marLeft w:val="0"/>
                                  <w:marRight w:val="0"/>
                                  <w:marTop w:val="0"/>
                                  <w:marBottom w:val="300"/>
                                  <w:divBdr>
                                    <w:top w:val="none" w:sz="0" w:space="0" w:color="auto"/>
                                    <w:left w:val="none" w:sz="0" w:space="0" w:color="auto"/>
                                    <w:bottom w:val="none" w:sz="0" w:space="0" w:color="auto"/>
                                    <w:right w:val="none" w:sz="0" w:space="0" w:color="auto"/>
                                  </w:divBdr>
                                  <w:divsChild>
                                    <w:div w:id="584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342070">
      <w:bodyDiv w:val="1"/>
      <w:marLeft w:val="0"/>
      <w:marRight w:val="0"/>
      <w:marTop w:val="0"/>
      <w:marBottom w:val="0"/>
      <w:divBdr>
        <w:top w:val="none" w:sz="0" w:space="0" w:color="auto"/>
        <w:left w:val="none" w:sz="0" w:space="0" w:color="auto"/>
        <w:bottom w:val="none" w:sz="0" w:space="0" w:color="auto"/>
        <w:right w:val="none" w:sz="0" w:space="0" w:color="auto"/>
      </w:divBdr>
    </w:div>
    <w:div w:id="982543906">
      <w:bodyDiv w:val="1"/>
      <w:marLeft w:val="0"/>
      <w:marRight w:val="0"/>
      <w:marTop w:val="0"/>
      <w:marBottom w:val="0"/>
      <w:divBdr>
        <w:top w:val="none" w:sz="0" w:space="0" w:color="auto"/>
        <w:left w:val="none" w:sz="0" w:space="0" w:color="auto"/>
        <w:bottom w:val="none" w:sz="0" w:space="0" w:color="auto"/>
        <w:right w:val="none" w:sz="0" w:space="0" w:color="auto"/>
      </w:divBdr>
      <w:divsChild>
        <w:div w:id="1520847959">
          <w:marLeft w:val="0"/>
          <w:marRight w:val="0"/>
          <w:marTop w:val="0"/>
          <w:marBottom w:val="0"/>
          <w:divBdr>
            <w:top w:val="none" w:sz="0" w:space="0" w:color="auto"/>
            <w:left w:val="none" w:sz="0" w:space="0" w:color="auto"/>
            <w:bottom w:val="none" w:sz="0" w:space="0" w:color="auto"/>
            <w:right w:val="none" w:sz="0" w:space="0" w:color="auto"/>
          </w:divBdr>
          <w:divsChild>
            <w:div w:id="77483062">
              <w:marLeft w:val="0"/>
              <w:marRight w:val="0"/>
              <w:marTop w:val="0"/>
              <w:marBottom w:val="0"/>
              <w:divBdr>
                <w:top w:val="none" w:sz="0" w:space="0" w:color="auto"/>
                <w:left w:val="none" w:sz="0" w:space="0" w:color="auto"/>
                <w:bottom w:val="none" w:sz="0" w:space="0" w:color="auto"/>
                <w:right w:val="none" w:sz="0" w:space="0" w:color="auto"/>
              </w:divBdr>
              <w:divsChild>
                <w:div w:id="1432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3678">
      <w:bodyDiv w:val="1"/>
      <w:marLeft w:val="0"/>
      <w:marRight w:val="0"/>
      <w:marTop w:val="0"/>
      <w:marBottom w:val="0"/>
      <w:divBdr>
        <w:top w:val="none" w:sz="0" w:space="0" w:color="auto"/>
        <w:left w:val="none" w:sz="0" w:space="0" w:color="auto"/>
        <w:bottom w:val="none" w:sz="0" w:space="0" w:color="auto"/>
        <w:right w:val="none" w:sz="0" w:space="0" w:color="auto"/>
      </w:divBdr>
    </w:div>
    <w:div w:id="1105154396">
      <w:bodyDiv w:val="1"/>
      <w:marLeft w:val="0"/>
      <w:marRight w:val="0"/>
      <w:marTop w:val="0"/>
      <w:marBottom w:val="0"/>
      <w:divBdr>
        <w:top w:val="none" w:sz="0" w:space="0" w:color="auto"/>
        <w:left w:val="none" w:sz="0" w:space="0" w:color="auto"/>
        <w:bottom w:val="none" w:sz="0" w:space="0" w:color="auto"/>
        <w:right w:val="none" w:sz="0" w:space="0" w:color="auto"/>
      </w:divBdr>
      <w:divsChild>
        <w:div w:id="1514686531">
          <w:marLeft w:val="0"/>
          <w:marRight w:val="0"/>
          <w:marTop w:val="0"/>
          <w:marBottom w:val="0"/>
          <w:divBdr>
            <w:top w:val="none" w:sz="0" w:space="0" w:color="auto"/>
            <w:left w:val="none" w:sz="0" w:space="0" w:color="auto"/>
            <w:bottom w:val="none" w:sz="0" w:space="0" w:color="auto"/>
            <w:right w:val="none" w:sz="0" w:space="0" w:color="auto"/>
          </w:divBdr>
          <w:divsChild>
            <w:div w:id="1827474699">
              <w:marLeft w:val="0"/>
              <w:marRight w:val="0"/>
              <w:marTop w:val="0"/>
              <w:marBottom w:val="0"/>
              <w:divBdr>
                <w:top w:val="none" w:sz="0" w:space="0" w:color="auto"/>
                <w:left w:val="none" w:sz="0" w:space="0" w:color="auto"/>
                <w:bottom w:val="none" w:sz="0" w:space="0" w:color="auto"/>
                <w:right w:val="none" w:sz="0" w:space="0" w:color="auto"/>
              </w:divBdr>
              <w:divsChild>
                <w:div w:id="1157112554">
                  <w:marLeft w:val="0"/>
                  <w:marRight w:val="0"/>
                  <w:marTop w:val="600"/>
                  <w:marBottom w:val="0"/>
                  <w:divBdr>
                    <w:top w:val="none" w:sz="0" w:space="0" w:color="auto"/>
                    <w:left w:val="none" w:sz="0" w:space="0" w:color="auto"/>
                    <w:bottom w:val="none" w:sz="0" w:space="0" w:color="auto"/>
                    <w:right w:val="none" w:sz="0" w:space="0" w:color="auto"/>
                  </w:divBdr>
                  <w:divsChild>
                    <w:div w:id="206067229">
                      <w:marLeft w:val="0"/>
                      <w:marRight w:val="0"/>
                      <w:marTop w:val="0"/>
                      <w:marBottom w:val="0"/>
                      <w:divBdr>
                        <w:top w:val="none" w:sz="0" w:space="0" w:color="auto"/>
                        <w:left w:val="none" w:sz="0" w:space="0" w:color="auto"/>
                        <w:bottom w:val="none" w:sz="0" w:space="0" w:color="auto"/>
                        <w:right w:val="none" w:sz="0" w:space="0" w:color="auto"/>
                      </w:divBdr>
                      <w:divsChild>
                        <w:div w:id="1922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61803">
      <w:bodyDiv w:val="1"/>
      <w:marLeft w:val="0"/>
      <w:marRight w:val="0"/>
      <w:marTop w:val="0"/>
      <w:marBottom w:val="0"/>
      <w:divBdr>
        <w:top w:val="none" w:sz="0" w:space="0" w:color="auto"/>
        <w:left w:val="none" w:sz="0" w:space="0" w:color="auto"/>
        <w:bottom w:val="none" w:sz="0" w:space="0" w:color="auto"/>
        <w:right w:val="none" w:sz="0" w:space="0" w:color="auto"/>
      </w:divBdr>
    </w:div>
    <w:div w:id="1246765330">
      <w:bodyDiv w:val="1"/>
      <w:marLeft w:val="0"/>
      <w:marRight w:val="0"/>
      <w:marTop w:val="0"/>
      <w:marBottom w:val="0"/>
      <w:divBdr>
        <w:top w:val="none" w:sz="0" w:space="0" w:color="auto"/>
        <w:left w:val="none" w:sz="0" w:space="0" w:color="auto"/>
        <w:bottom w:val="none" w:sz="0" w:space="0" w:color="auto"/>
        <w:right w:val="none" w:sz="0" w:space="0" w:color="auto"/>
      </w:divBdr>
    </w:div>
    <w:div w:id="1254506778">
      <w:bodyDiv w:val="1"/>
      <w:marLeft w:val="0"/>
      <w:marRight w:val="0"/>
      <w:marTop w:val="0"/>
      <w:marBottom w:val="0"/>
      <w:divBdr>
        <w:top w:val="none" w:sz="0" w:space="0" w:color="auto"/>
        <w:left w:val="none" w:sz="0" w:space="0" w:color="auto"/>
        <w:bottom w:val="none" w:sz="0" w:space="0" w:color="auto"/>
        <w:right w:val="none" w:sz="0" w:space="0" w:color="auto"/>
      </w:divBdr>
    </w:div>
    <w:div w:id="1304122636">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42">
      <w:bodyDiv w:val="1"/>
      <w:marLeft w:val="0"/>
      <w:marRight w:val="0"/>
      <w:marTop w:val="0"/>
      <w:marBottom w:val="0"/>
      <w:divBdr>
        <w:top w:val="none" w:sz="0" w:space="0" w:color="auto"/>
        <w:left w:val="none" w:sz="0" w:space="0" w:color="auto"/>
        <w:bottom w:val="none" w:sz="0" w:space="0" w:color="auto"/>
        <w:right w:val="none" w:sz="0" w:space="0" w:color="auto"/>
      </w:divBdr>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783261990">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67">
      <w:bodyDiv w:val="1"/>
      <w:marLeft w:val="0"/>
      <w:marRight w:val="0"/>
      <w:marTop w:val="0"/>
      <w:marBottom w:val="0"/>
      <w:divBdr>
        <w:top w:val="none" w:sz="0" w:space="0" w:color="auto"/>
        <w:left w:val="none" w:sz="0" w:space="0" w:color="auto"/>
        <w:bottom w:val="none" w:sz="0" w:space="0" w:color="auto"/>
        <w:right w:val="none" w:sz="0" w:space="0" w:color="auto"/>
      </w:divBdr>
    </w:div>
    <w:div w:id="1933126291">
      <w:bodyDiv w:val="1"/>
      <w:marLeft w:val="0"/>
      <w:marRight w:val="0"/>
      <w:marTop w:val="0"/>
      <w:marBottom w:val="0"/>
      <w:divBdr>
        <w:top w:val="none" w:sz="0" w:space="0" w:color="auto"/>
        <w:left w:val="none" w:sz="0" w:space="0" w:color="auto"/>
        <w:bottom w:val="none" w:sz="0" w:space="0" w:color="auto"/>
        <w:right w:val="none" w:sz="0" w:space="0" w:color="auto"/>
      </w:divBdr>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6934">
      <w:bodyDiv w:val="1"/>
      <w:marLeft w:val="0"/>
      <w:marRight w:val="0"/>
      <w:marTop w:val="0"/>
      <w:marBottom w:val="0"/>
      <w:divBdr>
        <w:top w:val="none" w:sz="0" w:space="0" w:color="auto"/>
        <w:left w:val="none" w:sz="0" w:space="0" w:color="auto"/>
        <w:bottom w:val="none" w:sz="0" w:space="0" w:color="auto"/>
        <w:right w:val="none" w:sz="0" w:space="0" w:color="auto"/>
      </w:divBdr>
      <w:divsChild>
        <w:div w:id="425618129">
          <w:marLeft w:val="0"/>
          <w:marRight w:val="0"/>
          <w:marTop w:val="0"/>
          <w:marBottom w:val="0"/>
          <w:divBdr>
            <w:top w:val="none" w:sz="0" w:space="0" w:color="auto"/>
            <w:left w:val="none" w:sz="0" w:space="0" w:color="auto"/>
            <w:bottom w:val="none" w:sz="0" w:space="0" w:color="auto"/>
            <w:right w:val="none" w:sz="0" w:space="0" w:color="auto"/>
          </w:divBdr>
          <w:divsChild>
            <w:div w:id="933396022">
              <w:marLeft w:val="0"/>
              <w:marRight w:val="0"/>
              <w:marTop w:val="0"/>
              <w:marBottom w:val="0"/>
              <w:divBdr>
                <w:top w:val="none" w:sz="0" w:space="0" w:color="auto"/>
                <w:left w:val="none" w:sz="0" w:space="0" w:color="auto"/>
                <w:bottom w:val="none" w:sz="0" w:space="0" w:color="auto"/>
                <w:right w:val="none" w:sz="0" w:space="0" w:color="auto"/>
              </w:divBdr>
              <w:divsChild>
                <w:div w:id="855460597">
                  <w:marLeft w:val="0"/>
                  <w:marRight w:val="0"/>
                  <w:marTop w:val="600"/>
                  <w:marBottom w:val="0"/>
                  <w:divBdr>
                    <w:top w:val="none" w:sz="0" w:space="0" w:color="auto"/>
                    <w:left w:val="none" w:sz="0" w:space="0" w:color="auto"/>
                    <w:bottom w:val="none" w:sz="0" w:space="0" w:color="auto"/>
                    <w:right w:val="none" w:sz="0" w:space="0" w:color="auto"/>
                  </w:divBdr>
                  <w:divsChild>
                    <w:div w:id="1617058924">
                      <w:marLeft w:val="0"/>
                      <w:marRight w:val="0"/>
                      <w:marTop w:val="0"/>
                      <w:marBottom w:val="0"/>
                      <w:divBdr>
                        <w:top w:val="none" w:sz="0" w:space="0" w:color="auto"/>
                        <w:left w:val="none" w:sz="0" w:space="0" w:color="auto"/>
                        <w:bottom w:val="none" w:sz="0" w:space="0" w:color="auto"/>
                        <w:right w:val="none" w:sz="0" w:space="0" w:color="auto"/>
                      </w:divBdr>
                      <w:divsChild>
                        <w:div w:id="14886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89396">
      <w:bodyDiv w:val="1"/>
      <w:marLeft w:val="0"/>
      <w:marRight w:val="0"/>
      <w:marTop w:val="0"/>
      <w:marBottom w:val="0"/>
      <w:divBdr>
        <w:top w:val="none" w:sz="0" w:space="0" w:color="auto"/>
        <w:left w:val="none" w:sz="0" w:space="0" w:color="auto"/>
        <w:bottom w:val="none" w:sz="0" w:space="0" w:color="auto"/>
        <w:right w:val="none" w:sz="0" w:space="0" w:color="auto"/>
      </w:divBdr>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Registration/Audit.aspx" TargetMode="External"/><Relationship Id="rId13" Type="http://schemas.openxmlformats.org/officeDocument/2006/relationships/hyperlink" Target="https://www.linkedin.com/company/australian-health-practitioner-regulation-agency" TargetMode="External"/><Relationship Id="rId18" Type="http://schemas.openxmlformats.org/officeDocument/2006/relationships/hyperlink" Target="http://www.osteopathyboard.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ahpra.gov.au/"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ahpra.gov.au/About-AHPRA/Contact-Us/Make-an-Enqui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Information-Publication-Scheme.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AHPRA" TargetMode="External"/><Relationship Id="rId23" Type="http://schemas.openxmlformats.org/officeDocument/2006/relationships/footer" Target="footer2.xml"/><Relationship Id="rId10" Type="http://schemas.openxmlformats.org/officeDocument/2006/relationships/hyperlink" Target="https://www.osteopathyboard.gov.au/News/2019-05-08-practitioners-responsibility-to-support-public-health-programs.aspx" TargetMode="External"/><Relationship Id="rId19" Type="http://schemas.openxmlformats.org/officeDocument/2006/relationships/hyperlink" Target="http://www.ahpra.gov.au" TargetMode="External"/><Relationship Id="rId4" Type="http://schemas.openxmlformats.org/officeDocument/2006/relationships/settings" Target="settings.xml"/><Relationship Id="rId9" Type="http://schemas.openxmlformats.org/officeDocument/2006/relationships/hyperlink" Target="https://www.osteopathyboard.gov.au/Codes-Guidelines/Guidelines-for-advertising-regulated-health-services.aspx"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917A-70A2-476A-9E78-6D0C1D4D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Osteopathy Board - Communique - Meeting of Osteopathy Board of Australia - 31 May 2019</vt:lpstr>
    </vt:vector>
  </TitlesOfParts>
  <Company>AHPRA</Company>
  <LinksUpToDate>false</LinksUpToDate>
  <CharactersWithSpaces>9624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Board - Communique - Meeting of Osteopathy Board of Australia - 31 May 2019</dc:title>
  <dc:subject>Communique</dc:subject>
  <dc:creator>Osteopathy Board</dc:creator>
  <cp:lastModifiedBy>Sheryl Kamath</cp:lastModifiedBy>
  <cp:revision>2</cp:revision>
  <cp:lastPrinted>2012-02-10T00:45:00Z</cp:lastPrinted>
  <dcterms:created xsi:type="dcterms:W3CDTF">2019-06-12T05:01:00Z</dcterms:created>
  <dcterms:modified xsi:type="dcterms:W3CDTF">2019-06-12T05:01:00Z</dcterms:modified>
</cp:coreProperties>
</file>