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67E" w:rsidRPr="00C35DE1" w:rsidRDefault="00B1167E" w:rsidP="00B1167E">
      <w:pPr>
        <w:pStyle w:val="AHPRATitle"/>
        <w:rPr>
          <w:color w:val="00BCCE"/>
          <w:sz w:val="32"/>
          <w:szCs w:val="32"/>
        </w:rPr>
      </w:pPr>
      <w:r w:rsidRPr="001E77B0">
        <w:rPr>
          <w:noProof/>
          <w:lang w:eastAsia="en-AU"/>
        </w:rPr>
        <w:drawing>
          <wp:anchor distT="0" distB="0" distL="114300" distR="114300" simplePos="0" relativeHeight="251661312" behindDoc="0" locked="0" layoutInCell="1" allowOverlap="1">
            <wp:simplePos x="0" y="0"/>
            <wp:positionH relativeFrom="margin">
              <wp:posOffset>4478020</wp:posOffset>
            </wp:positionH>
            <wp:positionV relativeFrom="margin">
              <wp:posOffset>-1086485</wp:posOffset>
            </wp:positionV>
            <wp:extent cx="1390650" cy="1450975"/>
            <wp:effectExtent l="0" t="0" r="0" b="0"/>
            <wp:wrapSquare wrapText="bothSides"/>
            <wp:docPr id="3" name="Picture 5" descr="Osteopath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OsteopathyBoardofAustralia_SPOT.jpg"/>
                    <pic:cNvPicPr/>
                  </pic:nvPicPr>
                  <pic:blipFill>
                    <a:blip r:embed="rId8"/>
                    <a:stretch>
                      <a:fillRect/>
                    </a:stretch>
                  </pic:blipFill>
                  <pic:spPr>
                    <a:xfrm>
                      <a:off x="0" y="0"/>
                      <a:ext cx="1390650" cy="1450975"/>
                    </a:xfrm>
                    <a:prstGeom prst="rect">
                      <a:avLst/>
                    </a:prstGeom>
                  </pic:spPr>
                </pic:pic>
              </a:graphicData>
            </a:graphic>
          </wp:anchor>
        </w:drawing>
      </w:r>
      <w:r>
        <w:rPr>
          <w:color w:val="00BCCE"/>
          <w:sz w:val="32"/>
          <w:szCs w:val="32"/>
        </w:rPr>
        <w:t>Position statement</w:t>
      </w:r>
    </w:p>
    <w:p w:rsidR="00B1167E" w:rsidRPr="00B1167E" w:rsidRDefault="0091252B" w:rsidP="00B1167E">
      <w:pPr>
        <w:pStyle w:val="AHPRAHeadline"/>
        <w:outlineLvl w:val="0"/>
        <w:rPr>
          <w:sz w:val="4"/>
          <w:szCs w:val="4"/>
        </w:rPr>
      </w:pPr>
      <w:r>
        <w:rPr>
          <w:rFonts w:cs="Arial"/>
          <w:noProof/>
          <w:color w:val="60605B"/>
          <w:sz w:val="4"/>
          <w:szCs w:val="4"/>
          <w:lang w:eastAsia="en-AU"/>
        </w:rPr>
        <mc:AlternateContent>
          <mc:Choice Requires="wps">
            <w:drawing>
              <wp:anchor distT="4294967295" distB="4294967295" distL="114300" distR="114300" simplePos="0" relativeHeight="251659264" behindDoc="0" locked="0" layoutInCell="1" allowOverlap="1">
                <wp:simplePos x="0" y="0"/>
                <wp:positionH relativeFrom="column">
                  <wp:posOffset>-706755</wp:posOffset>
                </wp:positionH>
                <wp:positionV relativeFrom="paragraph">
                  <wp:posOffset>1904</wp:posOffset>
                </wp:positionV>
                <wp:extent cx="2406015" cy="0"/>
                <wp:effectExtent l="0" t="0" r="3238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EDAA6D" id="_x0000_t32" coordsize="21600,21600" o:spt="32" o:oned="t" path="m,l21600,21600e" filled="f">
                <v:path arrowok="t" fillok="f" o:connecttype="none"/>
                <o:lock v:ext="edit" shapetype="t"/>
              </v:shapetype>
              <v:shape id="Straight Arrow Connector 1" o:spid="_x0000_s1026" type="#_x0000_t32" style="position:absolute;margin-left:-55.65pt;margin-top:.15pt;width:189.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"/>
            </w:pict>
          </mc:Fallback>
        </mc:AlternateContent>
      </w:r>
    </w:p>
    <w:p w:rsidR="00AD4B09" w:rsidRPr="00B1167E" w:rsidRDefault="00B1167E" w:rsidP="00B1167E">
      <w:pPr>
        <w:pStyle w:val="AHPRAHeadline"/>
        <w:outlineLvl w:val="0"/>
      </w:pPr>
      <w:r>
        <w:rPr>
          <w:color w:val="auto"/>
          <w:sz w:val="20"/>
          <w:szCs w:val="20"/>
        </w:rPr>
        <w:t xml:space="preserve">Updated: </w:t>
      </w:r>
      <w:r w:rsidR="008A41F4">
        <w:rPr>
          <w:color w:val="auto"/>
          <w:sz w:val="20"/>
          <w:szCs w:val="20"/>
        </w:rPr>
        <w:t>27</w:t>
      </w:r>
      <w:r w:rsidRPr="00B1167E">
        <w:rPr>
          <w:color w:val="auto"/>
          <w:sz w:val="20"/>
          <w:szCs w:val="20"/>
        </w:rPr>
        <w:t xml:space="preserve"> March 2017</w:t>
      </w:r>
    </w:p>
    <w:p w:rsidR="00F4241B" w:rsidRDefault="00B1167E">
      <w:pPr>
        <w:pStyle w:val="AHPRADocumentsubheading"/>
      </w:pPr>
      <w:r w:rsidRPr="00B1167E">
        <w:t>Statement on paediatric care</w:t>
      </w:r>
    </w:p>
    <w:p w:rsidR="005355BC" w:rsidRDefault="00A138B5" w:rsidP="005355BC">
      <w:pPr>
        <w:pStyle w:val="AHPRASubhead"/>
      </w:pPr>
      <w:r>
        <w:t xml:space="preserve">The </w:t>
      </w:r>
      <w:r w:rsidR="00B1167E" w:rsidRPr="00B1167E">
        <w:t>Osteopathy Board of Australia</w:t>
      </w:r>
    </w:p>
    <w:p w:rsidR="005355BC" w:rsidRDefault="00731581" w:rsidP="005355BC">
      <w:pPr>
        <w:pStyle w:val="AHPRAbody"/>
      </w:pPr>
      <w:r>
        <w:t>The National Registration and Accreditation Scheme (</w:t>
      </w:r>
      <w:hyperlink r:id="rId9" w:tgtFrame="_blank" w:history="1">
        <w:r>
          <w:rPr>
            <w:rStyle w:val="Hyperlink"/>
            <w:szCs w:val="20"/>
          </w:rPr>
          <w:t>the National Scheme</w:t>
        </w:r>
      </w:hyperlink>
      <w:r>
        <w:t xml:space="preserve">) for health practitioners in Australia commenced on 1 July 2010 under the </w:t>
      </w:r>
      <w:r w:rsidR="005355BC" w:rsidRPr="005355BC">
        <w:rPr>
          <w:iCs/>
        </w:rPr>
        <w:t>Health Practitioner Regulation National Law</w:t>
      </w:r>
      <w:r>
        <w:rPr>
          <w:iCs/>
        </w:rPr>
        <w:t xml:space="preserve">, </w:t>
      </w:r>
      <w:r>
        <w:t xml:space="preserve"> as in force in each state and territory(</w:t>
      </w:r>
      <w:hyperlink r:id="rId10" w:tgtFrame="_blank" w:history="1">
        <w:r>
          <w:rPr>
            <w:rStyle w:val="Hyperlink"/>
            <w:szCs w:val="20"/>
          </w:rPr>
          <w:t>the National Law</w:t>
        </w:r>
      </w:hyperlink>
      <w:r>
        <w:t xml:space="preserve">). </w:t>
      </w:r>
    </w:p>
    <w:p w:rsidR="005355BC" w:rsidRDefault="00731581" w:rsidP="005355BC">
      <w:pPr>
        <w:pStyle w:val="AHPRAbody"/>
      </w:pPr>
      <w:r>
        <w:t xml:space="preserve">Under the National Law, the Osteopathy Board of Australia (the Board) is responsible for the regulation of the osteopaths and is supported in this role by the Australian Health Practitioner Regulation Agency (AHPRA). </w:t>
      </w:r>
    </w:p>
    <w:p w:rsidR="005355BC" w:rsidRDefault="00731581" w:rsidP="005355BC">
      <w:pPr>
        <w:pStyle w:val="AHPRAbody"/>
      </w:pPr>
      <w:r>
        <w:t>The Board has approved registration standards, codes and guidelines which determine the requirements and expectations which guide the professional practice of osteopaths in Australia</w:t>
      </w:r>
    </w:p>
    <w:p w:rsidR="00731581" w:rsidRDefault="00731581" w:rsidP="00C4634C">
      <w:pPr>
        <w:pStyle w:val="AHPRAHeadline"/>
        <w:outlineLvl w:val="0"/>
        <w:rPr>
          <w:color w:val="auto"/>
          <w:sz w:val="20"/>
          <w:szCs w:val="20"/>
        </w:rPr>
      </w:pPr>
      <w:r>
        <w:rPr>
          <w:color w:val="auto"/>
          <w:sz w:val="20"/>
          <w:szCs w:val="20"/>
        </w:rPr>
        <w:t>The National Scheme has patient safety at its heart, and all health practitioners have a duty to make the care of their patients their first concern and to practise safely and effectively.</w:t>
      </w:r>
    </w:p>
    <w:p w:rsidR="00F4241B" w:rsidRDefault="00B1167E">
      <w:pPr>
        <w:pStyle w:val="AHPRASubhead"/>
      </w:pPr>
      <w:r w:rsidRPr="00337F76">
        <w:t>Codes and guidelines</w:t>
      </w:r>
    </w:p>
    <w:p w:rsidR="00F4241B" w:rsidRDefault="00E51D93">
      <w:pPr>
        <w:pStyle w:val="AHPRAbody"/>
        <w:rPr>
          <w:color w:val="000000" w:themeColor="text1"/>
          <w:szCs w:val="20"/>
        </w:rPr>
      </w:pPr>
      <w:r w:rsidRPr="00E51D93">
        <w:rPr>
          <w:color w:val="000000" w:themeColor="text1"/>
          <w:szCs w:val="20"/>
        </w:rPr>
        <w:t xml:space="preserve">The Board’s </w:t>
      </w:r>
      <w:hyperlink r:id="rId11" w:history="1">
        <w:r w:rsidRPr="00E51D93">
          <w:rPr>
            <w:color w:val="0000FF"/>
            <w:szCs w:val="20"/>
            <w:u w:val="single"/>
          </w:rPr>
          <w:t>Code of conduct for osteopaths</w:t>
        </w:r>
      </w:hyperlink>
      <w:r w:rsidR="00B1167E" w:rsidRPr="00B1167E">
        <w:rPr>
          <w:color w:val="444444"/>
          <w:szCs w:val="20"/>
        </w:rPr>
        <w:t xml:space="preserve"> </w:t>
      </w:r>
      <w:r w:rsidRPr="00E51D93">
        <w:rPr>
          <w:color w:val="000000" w:themeColor="text1"/>
          <w:szCs w:val="20"/>
        </w:rPr>
        <w:t>and</w:t>
      </w:r>
      <w:r w:rsidR="00B1167E" w:rsidRPr="00B1167E">
        <w:rPr>
          <w:color w:val="444444"/>
          <w:szCs w:val="20"/>
        </w:rPr>
        <w:t xml:space="preserve"> </w:t>
      </w:r>
      <w:hyperlink r:id="rId12" w:history="1">
        <w:r w:rsidRPr="00E51D93">
          <w:rPr>
            <w:color w:val="0000FF"/>
            <w:u w:val="single"/>
          </w:rPr>
          <w:t>Guidelines for advertising of regulated health services</w:t>
        </w:r>
      </w:hyperlink>
      <w:r w:rsidR="00B1167E" w:rsidRPr="00B1167E">
        <w:rPr>
          <w:color w:val="444444"/>
          <w:szCs w:val="20"/>
        </w:rPr>
        <w:t xml:space="preserve"> </w:t>
      </w:r>
      <w:r w:rsidRPr="00E51D93">
        <w:rPr>
          <w:color w:val="000000" w:themeColor="text1"/>
          <w:szCs w:val="20"/>
        </w:rPr>
        <w:t>are published on its websit</w:t>
      </w:r>
      <w:r w:rsidR="00C4634C">
        <w:rPr>
          <w:color w:val="000000" w:themeColor="text1"/>
          <w:szCs w:val="20"/>
        </w:rPr>
        <w:t xml:space="preserve">e at </w:t>
      </w:r>
      <w:hyperlink r:id="rId13" w:history="1">
        <w:r w:rsidR="00C4634C" w:rsidRPr="000E23DC">
          <w:rPr>
            <w:rStyle w:val="Hyperlink"/>
            <w:szCs w:val="20"/>
          </w:rPr>
          <w:t>www.osteopathyboard.gov.au</w:t>
        </w:r>
      </w:hyperlink>
      <w:r w:rsidR="00C4634C">
        <w:rPr>
          <w:color w:val="000000" w:themeColor="text1"/>
          <w:szCs w:val="20"/>
        </w:rPr>
        <w:t xml:space="preserve">. </w:t>
      </w:r>
      <w:r w:rsidRPr="00E51D93">
        <w:rPr>
          <w:color w:val="000000" w:themeColor="text1"/>
          <w:szCs w:val="20"/>
        </w:rPr>
        <w:t>These documents, and the Board’s other codes and guidelines, make clear what the Board expects of registered osteopaths</w:t>
      </w:r>
      <w:r w:rsidR="00C4634C">
        <w:rPr>
          <w:color w:val="000000" w:themeColor="text1"/>
          <w:szCs w:val="20"/>
        </w:rPr>
        <w:t xml:space="preserve"> as part of the healthcare system.</w:t>
      </w:r>
    </w:p>
    <w:p w:rsidR="00F4241B" w:rsidRDefault="00585E5A">
      <w:pPr>
        <w:pStyle w:val="AHPRASubhead"/>
      </w:pPr>
      <w:r>
        <w:t>Osteopathy</w:t>
      </w:r>
      <w:r w:rsidR="00C4634C">
        <w:t xml:space="preserve"> </w:t>
      </w:r>
      <w:r w:rsidR="00C4634C" w:rsidRPr="00995A60">
        <w:t>Board</w:t>
      </w:r>
      <w:r w:rsidR="00C4634C">
        <w:t xml:space="preserve"> of Australia’s</w:t>
      </w:r>
      <w:r w:rsidR="00C4634C" w:rsidRPr="00995A60">
        <w:t xml:space="preserve"> position on </w:t>
      </w:r>
      <w:r w:rsidR="002177D6">
        <w:t>paediatric care, the</w:t>
      </w:r>
      <w:r w:rsidR="00337F76">
        <w:t xml:space="preserve"> t</w:t>
      </w:r>
      <w:r w:rsidR="00B1167E" w:rsidRPr="00B1167E">
        <w:t>reatment of children and scope of practice</w:t>
      </w:r>
      <w:r w:rsidR="00C4634C">
        <w:t xml:space="preserve"> for osteopaths</w:t>
      </w:r>
    </w:p>
    <w:p w:rsidR="00731581" w:rsidRDefault="00731581">
      <w:pPr>
        <w:pStyle w:val="AHPRAbody"/>
      </w:pPr>
      <w:r w:rsidRPr="00B1167E">
        <w:t>The National Law uses title protection</w:t>
      </w:r>
      <w:r>
        <w:t xml:space="preserve"> provisions under sections 113 to 118 (title and practice protections)</w:t>
      </w:r>
      <w:r w:rsidRPr="00B1167E">
        <w:t xml:space="preserve"> that do not generally restrict scope of practice</w:t>
      </w:r>
      <w:r>
        <w:t xml:space="preserve"> for osteopaths</w:t>
      </w:r>
      <w:r w:rsidRPr="00B1167E">
        <w:t xml:space="preserve"> with a few limited exceptions</w:t>
      </w:r>
      <w:r>
        <w:t>.</w:t>
      </w:r>
    </w:p>
    <w:p w:rsidR="00731581" w:rsidRDefault="00E51D93">
      <w:pPr>
        <w:pStyle w:val="AHPRAbody"/>
      </w:pPr>
      <w:r w:rsidRPr="00E51D93">
        <w:t xml:space="preserve">Osteopaths have a responsibility to recognise and work within the limits of their competence and scope of practice. </w:t>
      </w:r>
    </w:p>
    <w:p w:rsidR="00F4241B" w:rsidRDefault="00E51D93">
      <w:pPr>
        <w:pStyle w:val="AHPRAbody"/>
        <w:rPr>
          <w:szCs w:val="20"/>
        </w:rPr>
      </w:pPr>
      <w:r w:rsidRPr="00E51D93">
        <w:t>This applies to all osteopaths whether new</w:t>
      </w:r>
      <w:r w:rsidR="002177D6">
        <w:t>ly</w:t>
      </w:r>
      <w:r w:rsidRPr="00E51D93">
        <w:t xml:space="preserve"> graduate</w:t>
      </w:r>
      <w:r w:rsidR="002177D6">
        <w:t>d</w:t>
      </w:r>
      <w:r w:rsidRPr="00E51D93">
        <w:t xml:space="preserve"> or those who have been practising for many years</w:t>
      </w:r>
      <w:r w:rsidR="002177D6">
        <w:rPr>
          <w:szCs w:val="20"/>
        </w:rPr>
        <w:t xml:space="preserve"> and for all patient groups, including paediatric</w:t>
      </w:r>
      <w:r w:rsidR="002177D6">
        <w:rPr>
          <w:rStyle w:val="FootnoteReference"/>
          <w:szCs w:val="20"/>
        </w:rPr>
        <w:footnoteReference w:id="2"/>
      </w:r>
      <w:r w:rsidR="002177D6">
        <w:rPr>
          <w:szCs w:val="20"/>
        </w:rPr>
        <w:t xml:space="preserve"> patients.</w:t>
      </w:r>
    </w:p>
    <w:p w:rsidR="00F4241B" w:rsidRDefault="00E51D93">
      <w:pPr>
        <w:pStyle w:val="AHPRAbody"/>
        <w:pBdr>
          <w:top w:val="single" w:sz="4" w:space="1" w:color="auto"/>
          <w:left w:val="single" w:sz="4" w:space="4" w:color="auto"/>
          <w:bottom w:val="single" w:sz="4" w:space="1" w:color="auto"/>
          <w:right w:val="single" w:sz="4" w:space="4" w:color="auto"/>
        </w:pBdr>
        <w:rPr>
          <w:b/>
        </w:rPr>
      </w:pPr>
      <w:r w:rsidRPr="00E51D93">
        <w:rPr>
          <w:b/>
        </w:rPr>
        <w:t>Code of conduct for osteopaths</w:t>
      </w:r>
    </w:p>
    <w:p w:rsidR="00F4241B" w:rsidRDefault="00337F76">
      <w:pPr>
        <w:pStyle w:val="AHPRAbody"/>
        <w:pBdr>
          <w:top w:val="single" w:sz="4" w:space="1" w:color="auto"/>
          <w:left w:val="single" w:sz="4" w:space="4" w:color="auto"/>
          <w:bottom w:val="single" w:sz="4" w:space="1" w:color="auto"/>
          <w:right w:val="single" w:sz="4" w:space="4" w:color="auto"/>
        </w:pBdr>
      </w:pPr>
      <w:r>
        <w:t xml:space="preserve">Section </w:t>
      </w:r>
      <w:r w:rsidR="0027342D">
        <w:t>1.2</w:t>
      </w:r>
      <w:r>
        <w:t xml:space="preserve"> of t</w:t>
      </w:r>
      <w:r w:rsidR="00E51D93" w:rsidRPr="00E51D93">
        <w:t xml:space="preserve">he Board’s </w:t>
      </w:r>
      <w:r w:rsidR="00E51D93" w:rsidRPr="00E51D93">
        <w:rPr>
          <w:i/>
        </w:rPr>
        <w:t>Code of conduct</w:t>
      </w:r>
      <w:r w:rsidR="00E51D93" w:rsidRPr="00E51D93">
        <w:t xml:space="preserve"> </w:t>
      </w:r>
      <w:r w:rsidR="00E51D93" w:rsidRPr="00E51D93">
        <w:rPr>
          <w:i/>
        </w:rPr>
        <w:t>for osteopaths</w:t>
      </w:r>
      <w:r>
        <w:t xml:space="preserve"> </w:t>
      </w:r>
      <w:r w:rsidR="00E51D93" w:rsidRPr="00E51D93">
        <w:t>says that</w:t>
      </w:r>
      <w:r w:rsidR="00C4634C">
        <w:t>:</w:t>
      </w:r>
      <w:r>
        <w:t xml:space="preserve"> ‘</w:t>
      </w:r>
      <w:r w:rsidR="00C442D2">
        <w:t>P</w:t>
      </w:r>
      <w:r w:rsidR="00C442D2" w:rsidRPr="00E51D93">
        <w:t xml:space="preserve">ractitioners </w:t>
      </w:r>
      <w:r w:rsidR="00E51D93" w:rsidRPr="00E51D93">
        <w:t>have a responsibility to recognise and work within the limits of their competence and scope of practice. Scopes of practice vary according to different roles; for example, practitioners, researchers and managers will all have quite different co</w:t>
      </w:r>
      <w:r w:rsidR="008A41F4">
        <w:t>mpetence and scopes of practice</w:t>
      </w:r>
      <w:r w:rsidR="008A41F4" w:rsidRPr="00E51D93">
        <w:t>’.</w:t>
      </w:r>
    </w:p>
    <w:p w:rsidR="00F4241B" w:rsidRPr="002177D6" w:rsidRDefault="00585E5A">
      <w:pPr>
        <w:pStyle w:val="AHPRAbody"/>
        <w:pBdr>
          <w:top w:val="single" w:sz="4" w:space="1" w:color="auto"/>
          <w:left w:val="single" w:sz="4" w:space="4" w:color="auto"/>
          <w:bottom w:val="single" w:sz="4" w:space="1" w:color="auto"/>
          <w:right w:val="single" w:sz="4" w:space="4" w:color="auto"/>
        </w:pBdr>
      </w:pPr>
      <w:r w:rsidRPr="002177D6">
        <w:t xml:space="preserve">The Code of conduct also states in </w:t>
      </w:r>
      <w:r w:rsidR="005355BC" w:rsidRPr="005355BC">
        <w:t xml:space="preserve">section </w:t>
      </w:r>
      <w:r w:rsidR="0027342D" w:rsidRPr="002177D6">
        <w:t>2.2</w:t>
      </w:r>
      <w:r w:rsidRPr="002177D6">
        <w:t xml:space="preserve"> that </w:t>
      </w:r>
      <w:r w:rsidR="005355BC" w:rsidRPr="005355BC">
        <w:t>‘Good practice</w:t>
      </w:r>
      <w:r w:rsidR="008A41F4">
        <w:t>’</w:t>
      </w:r>
      <w:r w:rsidR="005355BC" w:rsidRPr="005355BC">
        <w:t xml:space="preserve"> involves:</w:t>
      </w:r>
    </w:p>
    <w:p w:rsidR="00F4241B" w:rsidRPr="002177D6" w:rsidRDefault="005355BC">
      <w:pPr>
        <w:pStyle w:val="AHPRAbody"/>
        <w:pBdr>
          <w:top w:val="single" w:sz="4" w:space="1" w:color="auto"/>
          <w:left w:val="single" w:sz="4" w:space="4" w:color="auto"/>
          <w:bottom w:val="single" w:sz="4" w:space="1" w:color="auto"/>
          <w:right w:val="single" w:sz="4" w:space="4" w:color="auto"/>
        </w:pBdr>
      </w:pPr>
      <w:r w:rsidRPr="005355BC">
        <w:lastRenderedPageBreak/>
        <w:t>a) recognising and working within the limits of a practitioner’s competence and scope of practice, which may change over time</w:t>
      </w:r>
    </w:p>
    <w:p w:rsidR="00F4241B" w:rsidRPr="002177D6" w:rsidRDefault="005355BC">
      <w:pPr>
        <w:pStyle w:val="AHPRAbody"/>
        <w:pBdr>
          <w:top w:val="single" w:sz="4" w:space="1" w:color="auto"/>
          <w:left w:val="single" w:sz="4" w:space="4" w:color="auto"/>
          <w:bottom w:val="single" w:sz="4" w:space="1" w:color="auto"/>
          <w:right w:val="single" w:sz="4" w:space="4" w:color="auto"/>
        </w:pBdr>
      </w:pPr>
      <w:r w:rsidRPr="005355BC">
        <w:t>b) ensuring that practitioners maintain adequate knowledge and skills to provide safe and effective care</w:t>
      </w:r>
    </w:p>
    <w:p w:rsidR="00F4241B" w:rsidRDefault="005355BC">
      <w:pPr>
        <w:pStyle w:val="AHPRAbody"/>
        <w:pBdr>
          <w:top w:val="single" w:sz="4" w:space="1" w:color="auto"/>
          <w:left w:val="single" w:sz="4" w:space="4" w:color="auto"/>
          <w:bottom w:val="single" w:sz="4" w:space="1" w:color="auto"/>
          <w:right w:val="single" w:sz="4" w:space="4" w:color="auto"/>
        </w:pBdr>
      </w:pPr>
      <w:r w:rsidRPr="005355BC">
        <w:t>c) when moving into a new area of practice, ensuring that a practitioner has undertaken sufficient training and/or qualifications to achieve competency in that area</w:t>
      </w:r>
      <w:r w:rsidR="008A41F4">
        <w:t>.</w:t>
      </w:r>
    </w:p>
    <w:p w:rsidR="00F4241B" w:rsidRDefault="00F4241B">
      <w:pPr>
        <w:pStyle w:val="AHPRAbody"/>
        <w:pBdr>
          <w:top w:val="single" w:sz="4" w:space="1" w:color="auto"/>
          <w:left w:val="single" w:sz="4" w:space="4" w:color="auto"/>
          <w:bottom w:val="single" w:sz="4" w:space="1" w:color="auto"/>
          <w:right w:val="single" w:sz="4" w:space="4" w:color="auto"/>
        </w:pBdr>
        <w:rPr>
          <w:sz w:val="4"/>
          <w:szCs w:val="4"/>
        </w:rPr>
      </w:pPr>
    </w:p>
    <w:p w:rsidR="00F4241B" w:rsidRDefault="00E51D93">
      <w:pPr>
        <w:pStyle w:val="AHPRAbody"/>
      </w:pPr>
      <w:r w:rsidRPr="00E51D93">
        <w:t xml:space="preserve">The Board </w:t>
      </w:r>
      <w:r w:rsidR="00585E5A" w:rsidRPr="00585E5A">
        <w:t xml:space="preserve">considers </w:t>
      </w:r>
      <w:r w:rsidRPr="00E51D93">
        <w:t xml:space="preserve">a registered osteopath’s ‘scope of practice’ as: ‘the professional role and services that an individual health practitioner is educated and competent to </w:t>
      </w:r>
      <w:r w:rsidR="008A41F4" w:rsidRPr="00E51D93">
        <w:t>perform</w:t>
      </w:r>
      <w:r w:rsidR="008A41F4">
        <w:t>’.</w:t>
      </w:r>
    </w:p>
    <w:p w:rsidR="00F4241B" w:rsidRDefault="00E51D93">
      <w:pPr>
        <w:pStyle w:val="AHPRAbody"/>
      </w:pPr>
      <w:r w:rsidRPr="00E51D93">
        <w:t xml:space="preserve">This means that </w:t>
      </w:r>
      <w:r w:rsidR="00585E5A">
        <w:t xml:space="preserve">registered </w:t>
      </w:r>
      <w:r w:rsidRPr="00E51D93">
        <w:t xml:space="preserve">osteopaths can work in areas of practice in which they have education, training, experience and competence. </w:t>
      </w:r>
    </w:p>
    <w:p w:rsidR="00F4241B" w:rsidRDefault="00E51D93">
      <w:pPr>
        <w:pStyle w:val="AHPRAbody"/>
      </w:pPr>
      <w:r w:rsidRPr="00E51D93">
        <w:t xml:space="preserve">If </w:t>
      </w:r>
      <w:r w:rsidR="00585E5A">
        <w:t xml:space="preserve">registered </w:t>
      </w:r>
      <w:r w:rsidRPr="00E51D93">
        <w:t>osteopaths wish to change or develop their scope</w:t>
      </w:r>
      <w:r w:rsidR="00B1167E" w:rsidRPr="00B1167E">
        <w:t xml:space="preserve"> of practice, they must undertake further education and training to ensure </w:t>
      </w:r>
      <w:r w:rsidR="00585E5A">
        <w:t xml:space="preserve">they have the </w:t>
      </w:r>
      <w:r w:rsidR="005355BC" w:rsidRPr="005355BC">
        <w:t>necessary</w:t>
      </w:r>
      <w:r w:rsidR="00585E5A" w:rsidRPr="002177D6">
        <w:t xml:space="preserve"> </w:t>
      </w:r>
      <w:r w:rsidR="00B1167E" w:rsidRPr="002177D6">
        <w:t>competence</w:t>
      </w:r>
      <w:r w:rsidR="00B1167E" w:rsidRPr="00B1167E">
        <w:t xml:space="preserve">. </w:t>
      </w:r>
    </w:p>
    <w:p w:rsidR="00F4241B" w:rsidRDefault="00B1167E">
      <w:pPr>
        <w:pStyle w:val="AHPRAbody"/>
      </w:pPr>
      <w:r w:rsidRPr="00B1167E">
        <w:t xml:space="preserve">The Board does not </w:t>
      </w:r>
      <w:r w:rsidR="007E7311">
        <w:t>recommend</w:t>
      </w:r>
      <w:r w:rsidRPr="00B1167E">
        <w:t xml:space="preserve"> </w:t>
      </w:r>
      <w:r w:rsidR="00585E5A">
        <w:t xml:space="preserve">individual </w:t>
      </w:r>
      <w:r w:rsidRPr="00B1167E">
        <w:t>post-graduate or continuing education courses</w:t>
      </w:r>
      <w:r w:rsidR="00585E5A">
        <w:t xml:space="preserve"> to </w:t>
      </w:r>
      <w:r w:rsidR="007E7311">
        <w:t>osteopaths</w:t>
      </w:r>
      <w:r w:rsidRPr="00B1167E">
        <w:t xml:space="preserve">, it is up to each practitioner to assess where they need to update their </w:t>
      </w:r>
      <w:r w:rsidR="007E7311">
        <w:t xml:space="preserve">education and </w:t>
      </w:r>
      <w:r w:rsidRPr="00B1167E">
        <w:t xml:space="preserve">learning and </w:t>
      </w:r>
      <w:r w:rsidR="00202B1E">
        <w:t xml:space="preserve">complete </w:t>
      </w:r>
      <w:r w:rsidR="007E7311">
        <w:t xml:space="preserve">this </w:t>
      </w:r>
      <w:r w:rsidRPr="00B1167E">
        <w:t xml:space="preserve">prior to changing or extending their scope of practice. </w:t>
      </w:r>
      <w:r w:rsidR="000C1941">
        <w:t>The Board expects that any post-graduate or continuing education courses will be evidence</w:t>
      </w:r>
      <w:r w:rsidR="00E566A3">
        <w:t>-</w:t>
      </w:r>
      <w:r w:rsidR="000C1941">
        <w:t xml:space="preserve">informed and </w:t>
      </w:r>
      <w:r w:rsidR="0004228E">
        <w:t>that osteopaths maintain their knowledge through continuing professional development</w:t>
      </w:r>
      <w:r w:rsidR="000C1941">
        <w:t>.</w:t>
      </w:r>
      <w:r w:rsidRPr="00B1167E">
        <w:t xml:space="preserve"> </w:t>
      </w:r>
    </w:p>
    <w:p w:rsidR="00F4241B" w:rsidRDefault="00E51D93">
      <w:pPr>
        <w:pStyle w:val="AHPRAbody"/>
      </w:pPr>
      <w:r w:rsidRPr="00E51D93">
        <w:t>Osteopaths should not claim to</w:t>
      </w:r>
      <w:r w:rsidR="00623D0E">
        <w:t xml:space="preserve"> or </w:t>
      </w:r>
      <w:r w:rsidRPr="00E51D93">
        <w:t>provide care for babies and children unless they have the appropriate education, training and competence</w:t>
      </w:r>
      <w:r w:rsidR="007E7311">
        <w:t xml:space="preserve"> to do so</w:t>
      </w:r>
      <w:r w:rsidRPr="00E51D93">
        <w:t>.</w:t>
      </w:r>
      <w:r w:rsidR="00B1167E" w:rsidRPr="00B1167E">
        <w:t xml:space="preserve">  </w:t>
      </w:r>
    </w:p>
    <w:p w:rsidR="005355BC" w:rsidRDefault="00E51D93" w:rsidP="005355BC">
      <w:pPr>
        <w:pStyle w:val="AHPRAbody"/>
      </w:pPr>
      <w:r w:rsidRPr="00E51D93">
        <w:t xml:space="preserve">When practitioners do not have the clinical skills and knowledge to appropriately assess and </w:t>
      </w:r>
      <w:r w:rsidRPr="002177D6">
        <w:t xml:space="preserve">manage a </w:t>
      </w:r>
      <w:r w:rsidR="005355BC" w:rsidRPr="005355BC">
        <w:t>particular</w:t>
      </w:r>
      <w:r w:rsidRPr="002177D6">
        <w:t xml:space="preserve"> paediatric patient, the Board expects them to refer the patient to another healthcare practitioner who has the appropriate skills, or to co-manage the patient with </w:t>
      </w:r>
      <w:r w:rsidR="005355BC" w:rsidRPr="005355BC">
        <w:t>them</w:t>
      </w:r>
      <w:r w:rsidRPr="00E51D93">
        <w:t>. This should happen immediately when there are serious conditions that require urgent referral.</w:t>
      </w:r>
    </w:p>
    <w:p w:rsidR="00F4241B" w:rsidRDefault="00B1167E">
      <w:pPr>
        <w:pStyle w:val="AHPRAbody"/>
      </w:pPr>
      <w:r w:rsidRPr="00B1167E">
        <w:t xml:space="preserve">Osteopaths with appropriate training and experience to </w:t>
      </w:r>
      <w:r w:rsidRPr="002177D6">
        <w:t xml:space="preserve">practice </w:t>
      </w:r>
      <w:r w:rsidR="005355BC" w:rsidRPr="005355BC">
        <w:t>in the area of paediatrics</w:t>
      </w:r>
      <w:r w:rsidRPr="00B1167E">
        <w:t xml:space="preserve"> cannot use the term ‘specialist’ in relation to their practice or give the impression or advertise that they specialise or are a specialist in paediatrics and treating neonates, infants and young children.  </w:t>
      </w:r>
    </w:p>
    <w:p w:rsidR="00F4241B" w:rsidRDefault="00B1167E">
      <w:pPr>
        <w:pStyle w:val="AHPRAbody"/>
      </w:pPr>
      <w:r w:rsidRPr="002177D6">
        <w:t xml:space="preserve">Specialist registration under the National Scheme has only been established in the </w:t>
      </w:r>
      <w:r w:rsidR="005355BC" w:rsidRPr="005355BC">
        <w:t>medical, dental and podiatry</w:t>
      </w:r>
      <w:r w:rsidRPr="002177D6">
        <w:t xml:space="preserve"> professions</w:t>
      </w:r>
      <w:r w:rsidR="007E7311" w:rsidRPr="002177D6">
        <w:t xml:space="preserve"> and these professions can use </w:t>
      </w:r>
      <w:r w:rsidRPr="002177D6">
        <w:t>protected specialist titles. ‘</w:t>
      </w:r>
      <w:r w:rsidR="007E7311" w:rsidRPr="002177D6">
        <w:t>S</w:t>
      </w:r>
      <w:r w:rsidRPr="002177D6">
        <w:t>pecialist’ registration and specialist</w:t>
      </w:r>
      <w:r w:rsidRPr="00B1167E">
        <w:t xml:space="preserve"> titles have not been established for osteopathy in Australia.</w:t>
      </w:r>
    </w:p>
    <w:p w:rsidR="00F4241B" w:rsidRDefault="00B1167E">
      <w:pPr>
        <w:pStyle w:val="AHPRASubhead"/>
      </w:pPr>
      <w:r w:rsidRPr="00B1167E">
        <w:t>If</w:t>
      </w:r>
      <w:r w:rsidR="006454BF">
        <w:t xml:space="preserve"> anyone has a </w:t>
      </w:r>
      <w:r w:rsidRPr="00B1167E">
        <w:t xml:space="preserve">concern about </w:t>
      </w:r>
      <w:r w:rsidR="006454BF">
        <w:t>a</w:t>
      </w:r>
      <w:r w:rsidR="0027342D">
        <w:t>n</w:t>
      </w:r>
      <w:r w:rsidR="006454BF">
        <w:t xml:space="preserve"> </w:t>
      </w:r>
      <w:r w:rsidRPr="00B1167E">
        <w:t>osteopath</w:t>
      </w:r>
    </w:p>
    <w:p w:rsidR="00F4241B" w:rsidRDefault="006454BF">
      <w:pPr>
        <w:pStyle w:val="AHPRAbody"/>
      </w:pPr>
      <w:r>
        <w:t xml:space="preserve">As the national regulation and registration body governing the osteopathy profession, the Board would be very concerned about any practitioner who is not practising osteopathy </w:t>
      </w:r>
      <w:r w:rsidRPr="00E54B7F">
        <w:t>safely and within the limits of their competency, training and expertise.</w:t>
      </w:r>
    </w:p>
    <w:p w:rsidR="00F4241B" w:rsidRDefault="00B1167E">
      <w:pPr>
        <w:pStyle w:val="AHPRAbody"/>
      </w:pPr>
      <w:r w:rsidRPr="00B1167E">
        <w:t xml:space="preserve">Anyone concerned about the health, conduct or performance of an osteopath, can </w:t>
      </w:r>
      <w:r w:rsidR="006454BF">
        <w:t xml:space="preserve">raise their concerns or make a complaint (referred to under the National Law as ‘notifications’) </w:t>
      </w:r>
      <w:r w:rsidRPr="00B1167E">
        <w:t>by following the ‘Make a complaint’ link from the</w:t>
      </w:r>
      <w:r w:rsidRPr="00B1167E">
        <w:rPr>
          <w:rFonts w:asciiTheme="minorHAnsi" w:eastAsiaTheme="minorHAnsi" w:hAnsiTheme="minorHAnsi" w:cstheme="minorBidi"/>
          <w:szCs w:val="22"/>
        </w:rPr>
        <w:t xml:space="preserve"> </w:t>
      </w:r>
      <w:hyperlink r:id="rId14" w:history="1">
        <w:r w:rsidR="00E51D93" w:rsidRPr="00E51D93">
          <w:rPr>
            <w:rFonts w:eastAsiaTheme="minorHAnsi"/>
            <w:color w:val="0000FF"/>
            <w:szCs w:val="22"/>
            <w:u w:val="single"/>
          </w:rPr>
          <w:t>Board’s homepage</w:t>
        </w:r>
      </w:hyperlink>
      <w:r w:rsidR="002B68BC">
        <w:rPr>
          <w:rStyle w:val="FootnoteReference"/>
        </w:rPr>
        <w:footnoteReference w:id="3"/>
      </w:r>
      <w:r w:rsidR="002B68BC">
        <w:t>.</w:t>
      </w:r>
      <w:r w:rsidRPr="00B1167E">
        <w:t xml:space="preserve"> </w:t>
      </w:r>
    </w:p>
    <w:p w:rsidR="00F4241B" w:rsidRDefault="00B1167E">
      <w:pPr>
        <w:pStyle w:val="AHPRAbody"/>
      </w:pPr>
      <w:r w:rsidRPr="00B1167E">
        <w:t xml:space="preserve">All </w:t>
      </w:r>
      <w:r w:rsidR="006454BF">
        <w:t>complaints</w:t>
      </w:r>
      <w:r w:rsidRPr="00B1167E">
        <w:t xml:space="preserve"> will be assessed by the Board and decisions </w:t>
      </w:r>
      <w:r w:rsidR="006454BF">
        <w:t xml:space="preserve">are </w:t>
      </w:r>
      <w:r w:rsidRPr="00B1167E">
        <w:t xml:space="preserve">guided by the </w:t>
      </w:r>
      <w:r w:rsidR="00E51D93" w:rsidRPr="00E51D93">
        <w:rPr>
          <w:i/>
        </w:rPr>
        <w:t>Regulatory principles for the National Scheme</w:t>
      </w:r>
      <w:r w:rsidR="002B68BC">
        <w:rPr>
          <w:i/>
        </w:rPr>
        <w:t>.</w:t>
      </w:r>
    </w:p>
    <w:p w:rsidR="00B1167E" w:rsidRPr="00B1167E" w:rsidRDefault="00B1167E" w:rsidP="0016167F">
      <w:pPr>
        <w:pStyle w:val="AHPRAbody"/>
      </w:pPr>
      <w:r w:rsidRPr="00B1167E">
        <w:lastRenderedPageBreak/>
        <w:t xml:space="preserve">Complaints about </w:t>
      </w:r>
      <w:hyperlink r:id="rId15" w:history="1">
        <w:r w:rsidR="00AE50CB" w:rsidRPr="00AE50CB">
          <w:rPr>
            <w:rStyle w:val="Hyperlink"/>
          </w:rPr>
          <w:t>statutory offences</w:t>
        </w:r>
      </w:hyperlink>
      <w:r w:rsidR="00AE50CB">
        <w:t xml:space="preserve">, such as </w:t>
      </w:r>
      <w:r w:rsidR="006454BF" w:rsidRPr="00B1167E">
        <w:t>an</w:t>
      </w:r>
      <w:r w:rsidRPr="00B1167E">
        <w:t xml:space="preserve"> osteopath’s advertising can also be made </w:t>
      </w:r>
      <w:hyperlink r:id="rId16" w:tgtFrame="_blank" w:history="1">
        <w:r w:rsidR="00E51D93" w:rsidRPr="00E51D93">
          <w:rPr>
            <w:color w:val="0000FF"/>
            <w:szCs w:val="22"/>
            <w:u w:val="single"/>
          </w:rPr>
          <w:t>online to AHPRA</w:t>
        </w:r>
      </w:hyperlink>
      <w:r w:rsidR="00E51D93" w:rsidRPr="00E51D93">
        <w:rPr>
          <w:color w:val="0000FF"/>
        </w:rPr>
        <w:t xml:space="preserve"> </w:t>
      </w:r>
      <w:r w:rsidRPr="00B1167E">
        <w:t xml:space="preserve">or by calling 1300 419 495 or in person at an </w:t>
      </w:r>
      <w:hyperlink r:id="rId17" w:anchor="AHPRAOffices" w:tgtFrame="_blank" w:history="1">
        <w:r w:rsidR="00E51D93" w:rsidRPr="00E51D93">
          <w:rPr>
            <w:color w:val="0000FF"/>
            <w:szCs w:val="22"/>
            <w:u w:val="single"/>
          </w:rPr>
          <w:t>AHPRA office</w:t>
        </w:r>
      </w:hyperlink>
      <w:r w:rsidR="00E51D93" w:rsidRPr="00E51D93">
        <w:rPr>
          <w:color w:val="0000FF"/>
        </w:rPr>
        <w:t xml:space="preserve">. </w:t>
      </w:r>
    </w:p>
    <w:p w:rsidR="00F4241B" w:rsidRDefault="00E51D93">
      <w:pPr>
        <w:pStyle w:val="AHPRASubheadinglevel3"/>
      </w:pPr>
      <w:bookmarkStart w:id="1" w:name="For_more_information"/>
      <w:bookmarkEnd w:id="1"/>
      <w:r w:rsidRPr="00E51D93">
        <w:rPr>
          <w:i/>
        </w:rPr>
        <w:t>For more information</w:t>
      </w:r>
    </w:p>
    <w:p w:rsidR="00876D94" w:rsidRDefault="00876D94">
      <w:pPr>
        <w:pStyle w:val="AHPRABulletlevel1"/>
        <w:rPr>
          <w:color w:val="000000" w:themeColor="text1"/>
          <w:sz w:val="19"/>
          <w:szCs w:val="19"/>
        </w:rPr>
      </w:pPr>
      <w:r>
        <w:rPr>
          <w:color w:val="000000" w:themeColor="text1"/>
          <w:sz w:val="19"/>
          <w:szCs w:val="19"/>
        </w:rPr>
        <w:t xml:space="preserve">Go to the Board’s website at: </w:t>
      </w:r>
      <w:hyperlink r:id="rId18" w:history="1">
        <w:r w:rsidRPr="00EF6658">
          <w:rPr>
            <w:rStyle w:val="Hyperlink"/>
            <w:sz w:val="19"/>
            <w:szCs w:val="19"/>
          </w:rPr>
          <w:t>www.osteopathyboard.gov.au</w:t>
        </w:r>
      </w:hyperlink>
      <w:r>
        <w:rPr>
          <w:color w:val="000000" w:themeColor="text1"/>
          <w:sz w:val="19"/>
          <w:szCs w:val="19"/>
        </w:rPr>
        <w:t xml:space="preserve">. </w:t>
      </w:r>
    </w:p>
    <w:p w:rsidR="00F4241B" w:rsidRDefault="00E51D93">
      <w:pPr>
        <w:pStyle w:val="AHPRABulletlevel1"/>
        <w:rPr>
          <w:color w:val="000000" w:themeColor="text1"/>
          <w:sz w:val="19"/>
          <w:szCs w:val="19"/>
        </w:rPr>
      </w:pPr>
      <w:r w:rsidRPr="00E51D93">
        <w:rPr>
          <w:color w:val="000000" w:themeColor="text1"/>
          <w:sz w:val="19"/>
          <w:szCs w:val="19"/>
        </w:rPr>
        <w:t xml:space="preserve">Lodge an </w:t>
      </w:r>
      <w:hyperlink r:id="rId19" w:history="1">
        <w:r w:rsidRPr="00E51D93">
          <w:rPr>
            <w:color w:val="0000FF"/>
            <w:sz w:val="19"/>
            <w:u w:val="single"/>
          </w:rPr>
          <w:t>online enquiry form</w:t>
        </w:r>
      </w:hyperlink>
      <w:r w:rsidRPr="00E51D93">
        <w:rPr>
          <w:color w:val="0000FF"/>
          <w:sz w:val="19"/>
          <w:szCs w:val="19"/>
        </w:rPr>
        <w:t xml:space="preserve">. </w:t>
      </w:r>
    </w:p>
    <w:p w:rsidR="00F4241B" w:rsidRDefault="00E51D93">
      <w:pPr>
        <w:pStyle w:val="AHPRABulletlevel1"/>
        <w:rPr>
          <w:color w:val="000000" w:themeColor="text1"/>
          <w:sz w:val="19"/>
          <w:szCs w:val="19"/>
        </w:rPr>
      </w:pPr>
      <w:r w:rsidRPr="00E51D93">
        <w:rPr>
          <w:color w:val="000000" w:themeColor="text1"/>
          <w:sz w:val="19"/>
          <w:szCs w:val="19"/>
        </w:rPr>
        <w:t>For registration enquiries: 1300 419 495 (within Australia) +61 3 9275 9009 (overseas callers).</w:t>
      </w:r>
    </w:p>
    <w:p w:rsidR="000F5D90" w:rsidRPr="000E7E28" w:rsidRDefault="000F5D90" w:rsidP="00996BFC">
      <w:pPr>
        <w:pStyle w:val="AHPRAbody"/>
      </w:pPr>
    </w:p>
    <w:p w:rsidR="00E77E23" w:rsidRPr="000E7E28" w:rsidRDefault="000F5D90" w:rsidP="000F5D90">
      <w:pPr>
        <w:tabs>
          <w:tab w:val="left" w:pos="5678"/>
        </w:tabs>
      </w:pPr>
      <w:r w:rsidRPr="000E7E28">
        <w:tab/>
      </w:r>
    </w:p>
    <w:sectPr w:rsidR="00E77E23" w:rsidRPr="000E7E28" w:rsidSect="004E2BCE">
      <w:headerReference w:type="default" r:id="rId20"/>
      <w:footerReference w:type="even" r:id="rId21"/>
      <w:footerReference w:type="default" r:id="rId22"/>
      <w:headerReference w:type="first" r:id="rId23"/>
      <w:footerReference w:type="first" r:id="rId24"/>
      <w:pgSz w:w="11900" w:h="16840"/>
      <w:pgMar w:top="1440" w:right="1440" w:bottom="1440" w:left="1440" w:header="1134" w:footer="1122"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5E4" w:rsidRDefault="009915E4" w:rsidP="00FC2881">
      <w:r>
        <w:separator/>
      </w:r>
    </w:p>
    <w:p w:rsidR="009915E4" w:rsidRDefault="009915E4"/>
  </w:endnote>
  <w:endnote w:type="continuationSeparator" w:id="0">
    <w:p w:rsidR="009915E4" w:rsidRDefault="009915E4" w:rsidP="00FC2881">
      <w:r>
        <w:continuationSeparator/>
      </w:r>
    </w:p>
    <w:p w:rsidR="009915E4" w:rsidRDefault="00991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BF7" w:rsidRDefault="00A46DD6" w:rsidP="00FC2881">
    <w:pPr>
      <w:pStyle w:val="AHPRAfootnote"/>
      <w:framePr w:wrap="around" w:vAnchor="text" w:hAnchor="margin" w:xAlign="right" w:y="1"/>
    </w:pPr>
    <w:r>
      <w:fldChar w:fldCharType="begin"/>
    </w:r>
    <w:r w:rsidR="000A6BF7">
      <w:instrText xml:space="preserve">PAGE  </w:instrText>
    </w:r>
    <w:r>
      <w:fldChar w:fldCharType="end"/>
    </w:r>
  </w:p>
  <w:p w:rsidR="000A6BF7" w:rsidRDefault="000A6BF7" w:rsidP="00FC2881">
    <w:pPr>
      <w:pStyle w:val="AHPRAfootnote"/>
      <w:ind w:right="360"/>
    </w:pPr>
  </w:p>
  <w:p w:rsidR="000A6BF7" w:rsidRDefault="000A6BF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BF7" w:rsidRPr="000E7E28" w:rsidRDefault="0091252B" w:rsidP="000E7E28">
    <w:pPr>
      <w:pStyle w:val="AHPRApagenumber"/>
    </w:pPr>
    <w:sdt>
      <w:sdtPr>
        <w:id w:val="18143575"/>
        <w:docPartObj>
          <w:docPartGallery w:val="Page Numbers (Top of Page)"/>
          <w:docPartUnique/>
        </w:docPartObj>
      </w:sdtPr>
      <w:sdtEndPr/>
      <w:sdtContent>
        <w:r w:rsidR="001506FE" w:rsidRPr="000E7E28">
          <w:t xml:space="preserve">Page </w:t>
        </w:r>
        <w:r w:rsidR="00A46DD6">
          <w:fldChar w:fldCharType="begin"/>
        </w:r>
        <w:r w:rsidR="00E74923">
          <w:instrText xml:space="preserve"> PAGE </w:instrText>
        </w:r>
        <w:r w:rsidR="00A46DD6">
          <w:fldChar w:fldCharType="separate"/>
        </w:r>
        <w:r>
          <w:rPr>
            <w:noProof/>
          </w:rPr>
          <w:t>3</w:t>
        </w:r>
        <w:r w:rsidR="00A46DD6">
          <w:rPr>
            <w:noProof/>
          </w:rPr>
          <w:fldChar w:fldCharType="end"/>
        </w:r>
        <w:r w:rsidR="00E77E23" w:rsidRPr="000E7E28">
          <w:t xml:space="preserve"> of </w:t>
        </w:r>
        <w:r w:rsidR="00A46DD6">
          <w:fldChar w:fldCharType="begin"/>
        </w:r>
        <w:r w:rsidR="00A56C8F">
          <w:instrText xml:space="preserve"> NUMPAGES  </w:instrText>
        </w:r>
        <w:r w:rsidR="00A46DD6">
          <w:fldChar w:fldCharType="separate"/>
        </w:r>
        <w:r>
          <w:rPr>
            <w:noProof/>
          </w:rPr>
          <w:t>3</w:t>
        </w:r>
        <w:r w:rsidR="00A46DD6">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7B0" w:rsidRPr="00E77E23" w:rsidRDefault="001E77B0" w:rsidP="001E77B0">
    <w:pPr>
      <w:pStyle w:val="AHPRAfirstpagefooter"/>
    </w:pPr>
    <w:r>
      <w:rPr>
        <w:color w:val="007DC3"/>
      </w:rPr>
      <w:t>Osteopathy</w:t>
    </w:r>
    <w:r w:rsidRPr="00E77E23">
      <w:t xml:space="preserve"> </w:t>
    </w:r>
    <w:r>
      <w:t>Board of Australia</w:t>
    </w:r>
  </w:p>
  <w:p w:rsidR="00E77E23" w:rsidRDefault="001E77B0" w:rsidP="001E77B0">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B60415">
      <w:t>osteopathyboard</w:t>
    </w:r>
    <w:r w:rsidRPr="00AD312E">
      <w:t xml:space="preserve">.gov.au   </w:t>
    </w:r>
    <w:r w:rsidRPr="00E77E23">
      <w:rPr>
        <w:b/>
        <w:color w:val="007DC3"/>
        <w:szCs w:val="28"/>
      </w:rPr>
      <w:t>|</w:t>
    </w:r>
    <w:r w:rsidRPr="007432A4">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5E4" w:rsidRDefault="009915E4" w:rsidP="000E7E28">
      <w:r>
        <w:separator/>
      </w:r>
    </w:p>
  </w:footnote>
  <w:footnote w:type="continuationSeparator" w:id="0">
    <w:p w:rsidR="009915E4" w:rsidRDefault="009915E4" w:rsidP="00FC2881">
      <w:r>
        <w:continuationSeparator/>
      </w:r>
    </w:p>
    <w:p w:rsidR="009915E4" w:rsidRDefault="009915E4"/>
  </w:footnote>
  <w:footnote w:type="continuationNotice" w:id="1">
    <w:p w:rsidR="009915E4" w:rsidRDefault="009915E4"/>
  </w:footnote>
  <w:footnote w:id="2">
    <w:p w:rsidR="002177D6" w:rsidRPr="002177D6" w:rsidRDefault="002177D6">
      <w:pPr>
        <w:pStyle w:val="FootnoteText"/>
        <w:rPr>
          <w:lang w:val="en-AU"/>
        </w:rPr>
      </w:pPr>
      <w:r>
        <w:rPr>
          <w:rStyle w:val="FootnoteReference"/>
        </w:rPr>
        <w:footnoteRef/>
      </w:r>
      <w:r w:rsidRPr="002177D6">
        <w:rPr>
          <w:rFonts w:cs="Arial"/>
          <w:sz w:val="18"/>
          <w:szCs w:val="18"/>
        </w:rPr>
        <w:t xml:space="preserve">References to </w:t>
      </w:r>
      <w:r w:rsidRPr="002177D6">
        <w:rPr>
          <w:sz w:val="18"/>
          <w:szCs w:val="18"/>
        </w:rPr>
        <w:t>‘c</w:t>
      </w:r>
      <w:r w:rsidRPr="002177D6">
        <w:rPr>
          <w:rFonts w:cs="Arial"/>
          <w:sz w:val="18"/>
          <w:szCs w:val="18"/>
        </w:rPr>
        <w:t>hildren’ and ‘paediatric’ are terms used interchangeably by the Board to refer to anyone aged under 18.</w:t>
      </w:r>
    </w:p>
  </w:footnote>
  <w:footnote w:id="3">
    <w:p w:rsidR="002B68BC" w:rsidRPr="001E60B1" w:rsidRDefault="002B68BC" w:rsidP="002B68BC">
      <w:pPr>
        <w:jc w:val="left"/>
        <w:rPr>
          <w:color w:val="444444"/>
          <w:sz w:val="18"/>
          <w:szCs w:val="18"/>
        </w:rPr>
      </w:pPr>
      <w:r w:rsidRPr="001E60B1">
        <w:rPr>
          <w:rStyle w:val="FootnoteReference"/>
          <w:szCs w:val="18"/>
        </w:rPr>
        <w:footnoteRef/>
      </w:r>
      <w:r w:rsidR="005355BC" w:rsidRPr="005355BC">
        <w:rPr>
          <w:sz w:val="18"/>
          <w:szCs w:val="18"/>
        </w:rPr>
        <w:t xml:space="preserve"> </w:t>
      </w:r>
      <w:r w:rsidRPr="001E60B1">
        <w:rPr>
          <w:rStyle w:val="AHPRAbodyChar"/>
          <w:sz w:val="18"/>
          <w:szCs w:val="18"/>
        </w:rPr>
        <w:t xml:space="preserve">Different </w:t>
      </w:r>
      <w:r w:rsidR="00176DAD" w:rsidRPr="0091252B">
        <w:rPr>
          <w:rStyle w:val="AHPRAbodyChar"/>
          <w:sz w:val="18"/>
          <w:szCs w:val="18"/>
        </w:rPr>
        <w:t>systems</w:t>
      </w:r>
      <w:r w:rsidR="00176DAD">
        <w:rPr>
          <w:rStyle w:val="AHPRAbodyChar"/>
          <w:sz w:val="18"/>
          <w:szCs w:val="18"/>
        </w:rPr>
        <w:t xml:space="preserve"> </w:t>
      </w:r>
      <w:r w:rsidRPr="001E60B1">
        <w:rPr>
          <w:rStyle w:val="AHPRAbodyChar"/>
          <w:sz w:val="18"/>
          <w:szCs w:val="18"/>
        </w:rPr>
        <w:t xml:space="preserve">exist in New South Wales and Queensland under the National Scheme which are co-regulatory jurisdictions. This means the Board cannot receive complaints about the conduct, performance or behaviour of osteopaths in NSW and Qld. The relevant authorities in these jurisdictions are the </w:t>
      </w:r>
      <w:hyperlink r:id="rId1" w:history="1">
        <w:r w:rsidRPr="001E60B1">
          <w:rPr>
            <w:rStyle w:val="Hyperlink"/>
            <w:sz w:val="18"/>
            <w:szCs w:val="18"/>
          </w:rPr>
          <w:t>Osteopathy Council of NSW</w:t>
        </w:r>
      </w:hyperlink>
      <w:r w:rsidRPr="001E60B1">
        <w:rPr>
          <w:rStyle w:val="AHPRAbodyChar"/>
          <w:sz w:val="18"/>
          <w:szCs w:val="18"/>
        </w:rPr>
        <w:t xml:space="preserve"> and the </w:t>
      </w:r>
      <w:hyperlink r:id="rId2" w:history="1">
        <w:r w:rsidRPr="001E60B1">
          <w:rPr>
            <w:rStyle w:val="Hyperlink"/>
            <w:sz w:val="18"/>
            <w:szCs w:val="18"/>
          </w:rPr>
          <w:t>Office of th</w:t>
        </w:r>
        <w:bookmarkStart w:id="0" w:name="_GoBack"/>
        <w:bookmarkEnd w:id="0"/>
        <w:r w:rsidRPr="001E60B1">
          <w:rPr>
            <w:rStyle w:val="Hyperlink"/>
            <w:sz w:val="18"/>
            <w:szCs w:val="18"/>
          </w:rPr>
          <w:t>e Health Ombudsman</w:t>
        </w:r>
      </w:hyperlink>
      <w:r w:rsidRPr="001E60B1">
        <w:rPr>
          <w:rStyle w:val="AHPRAbodyChar"/>
          <w:sz w:val="18"/>
          <w:szCs w:val="18"/>
        </w:rPr>
        <w:t xml:space="preserve"> Queensland.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BF7" w:rsidRPr="00315933" w:rsidRDefault="000A6BF7" w:rsidP="001F25BA">
    <w:pPr>
      <w:ind w:right="-567"/>
    </w:pPr>
  </w:p>
  <w:p w:rsidR="000A6BF7" w:rsidRDefault="000A6BF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BF7" w:rsidRDefault="000A6BF7" w:rsidP="00E844A0"/>
  <w:p w:rsidR="000A6BF7" w:rsidRDefault="009226B7" w:rsidP="009226B7">
    <w:pPr>
      <w:tabs>
        <w:tab w:val="left" w:pos="3667"/>
      </w:tabs>
    </w:pPr>
    <w:r>
      <w:tab/>
    </w:r>
  </w:p>
  <w:p w:rsidR="00B1167E" w:rsidRDefault="00B1167E" w:rsidP="009226B7">
    <w:pPr>
      <w:tabs>
        <w:tab w:val="left" w:pos="3667"/>
      </w:tabs>
    </w:pPr>
  </w:p>
  <w:p w:rsidR="000A6BF7" w:rsidRDefault="000A6BF7"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12C41D18"/>
    <w:multiLevelType w:val="multilevel"/>
    <w:tmpl w:val="BFB04A0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2D19FF"/>
    <w:multiLevelType w:val="multilevel"/>
    <w:tmpl w:val="BE20683A"/>
    <w:numStyleLink w:val="AHPRANumberedheadinglist"/>
  </w:abstractNum>
  <w:abstractNum w:abstractNumId="6" w15:restartNumberingAfterBreak="0">
    <w:nsid w:val="2822578D"/>
    <w:multiLevelType w:val="multilevel"/>
    <w:tmpl w:val="BE20683A"/>
    <w:numStyleLink w:val="AHPRANumberedheadinglist"/>
  </w:abstractNum>
  <w:abstractNum w:abstractNumId="7"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9A65BC"/>
    <w:multiLevelType w:val="hybridMultilevel"/>
    <w:tmpl w:val="4EBA9C82"/>
    <w:lvl w:ilvl="0" w:tplc="30E07B36">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4433A"/>
    <w:multiLevelType w:val="multilevel"/>
    <w:tmpl w:val="C4183F12"/>
    <w:numStyleLink w:val="AHPRANumberedlist"/>
  </w:abstractNum>
  <w:abstractNum w:abstractNumId="11" w15:restartNumberingAfterBreak="0">
    <w:nsid w:val="6A9F2ACF"/>
    <w:multiLevelType w:val="multilevel"/>
    <w:tmpl w:val="24F89942"/>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2"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6E154B0"/>
    <w:multiLevelType w:val="multilevel"/>
    <w:tmpl w:val="C4183F12"/>
    <w:numStyleLink w:val="AHPRANumberedlist"/>
  </w:abstractNum>
  <w:abstractNum w:abstractNumId="14"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731660"/>
    <w:multiLevelType w:val="multilevel"/>
    <w:tmpl w:val="C4183F12"/>
    <w:numStyleLink w:val="AHPRANumberedlist"/>
  </w:abstractNum>
  <w:num w:numId="1">
    <w:abstractNumId w:val="12"/>
  </w:num>
  <w:num w:numId="2">
    <w:abstractNumId w:val="9"/>
  </w:num>
  <w:num w:numId="3">
    <w:abstractNumId w:val="1"/>
  </w:num>
  <w:num w:numId="4">
    <w:abstractNumId w:val="3"/>
  </w:num>
  <w:num w:numId="5">
    <w:abstractNumId w:val="5"/>
  </w:num>
  <w:num w:numId="6">
    <w:abstractNumId w:val="6"/>
  </w:num>
  <w:num w:numId="7">
    <w:abstractNumId w:val="0"/>
  </w:num>
  <w:num w:numId="8">
    <w:abstractNumId w:val="7"/>
  </w:num>
  <w:num w:numId="9">
    <w:abstractNumId w:val="14"/>
  </w:num>
  <w:num w:numId="10">
    <w:abstractNumId w:val="10"/>
  </w:num>
  <w:num w:numId="11">
    <w:abstractNumId w:val="2"/>
  </w:num>
  <w:num w:numId="12">
    <w:abstractNumId w:val="13"/>
  </w:num>
  <w:num w:numId="13">
    <w:abstractNumId w:val="15"/>
  </w:num>
  <w:num w:numId="14">
    <w:abstractNumId w:val="11"/>
  </w:num>
  <w:num w:numId="15">
    <w:abstractNumId w:val="8"/>
  </w:num>
  <w:num w:numId="1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E4"/>
    <w:rsid w:val="00000033"/>
    <w:rsid w:val="00006922"/>
    <w:rsid w:val="000334D7"/>
    <w:rsid w:val="000403FF"/>
    <w:rsid w:val="0004228E"/>
    <w:rsid w:val="00071439"/>
    <w:rsid w:val="00084327"/>
    <w:rsid w:val="000945FB"/>
    <w:rsid w:val="000A6BF7"/>
    <w:rsid w:val="000C1941"/>
    <w:rsid w:val="000C1AB8"/>
    <w:rsid w:val="000C3511"/>
    <w:rsid w:val="000E7E28"/>
    <w:rsid w:val="000F5D90"/>
    <w:rsid w:val="0010139F"/>
    <w:rsid w:val="0011040C"/>
    <w:rsid w:val="00143CC2"/>
    <w:rsid w:val="00144DEF"/>
    <w:rsid w:val="001506FE"/>
    <w:rsid w:val="0016167F"/>
    <w:rsid w:val="001765D0"/>
    <w:rsid w:val="00176DAD"/>
    <w:rsid w:val="001C425C"/>
    <w:rsid w:val="001E1281"/>
    <w:rsid w:val="001E1E31"/>
    <w:rsid w:val="001E2849"/>
    <w:rsid w:val="001E4A94"/>
    <w:rsid w:val="001E5621"/>
    <w:rsid w:val="001E60B1"/>
    <w:rsid w:val="001E77B0"/>
    <w:rsid w:val="001F0AFD"/>
    <w:rsid w:val="001F25BA"/>
    <w:rsid w:val="00202B1E"/>
    <w:rsid w:val="002177D6"/>
    <w:rsid w:val="00220A3B"/>
    <w:rsid w:val="00224708"/>
    <w:rsid w:val="00230645"/>
    <w:rsid w:val="0027342D"/>
    <w:rsid w:val="0028013F"/>
    <w:rsid w:val="00295B44"/>
    <w:rsid w:val="002B2D48"/>
    <w:rsid w:val="002B5585"/>
    <w:rsid w:val="002B68BC"/>
    <w:rsid w:val="002C08FB"/>
    <w:rsid w:val="002C34EA"/>
    <w:rsid w:val="002F75CE"/>
    <w:rsid w:val="00303BE1"/>
    <w:rsid w:val="00305AFC"/>
    <w:rsid w:val="003354E4"/>
    <w:rsid w:val="00337F76"/>
    <w:rsid w:val="00353D8A"/>
    <w:rsid w:val="0038620E"/>
    <w:rsid w:val="003D6DBD"/>
    <w:rsid w:val="003E00B5"/>
    <w:rsid w:val="003E3268"/>
    <w:rsid w:val="003E5071"/>
    <w:rsid w:val="003F2F06"/>
    <w:rsid w:val="00405C0A"/>
    <w:rsid w:val="00414F2C"/>
    <w:rsid w:val="00450B34"/>
    <w:rsid w:val="004606A7"/>
    <w:rsid w:val="00461C91"/>
    <w:rsid w:val="0047542D"/>
    <w:rsid w:val="004A5E5D"/>
    <w:rsid w:val="004B747B"/>
    <w:rsid w:val="004D7537"/>
    <w:rsid w:val="004E2BCE"/>
    <w:rsid w:val="004F5C05"/>
    <w:rsid w:val="005355BC"/>
    <w:rsid w:val="00536208"/>
    <w:rsid w:val="0053749F"/>
    <w:rsid w:val="00546C3A"/>
    <w:rsid w:val="00553A4C"/>
    <w:rsid w:val="00554335"/>
    <w:rsid w:val="005565CE"/>
    <w:rsid w:val="005708AE"/>
    <w:rsid w:val="00585CC0"/>
    <w:rsid w:val="00585E5A"/>
    <w:rsid w:val="00593C13"/>
    <w:rsid w:val="005A0FA9"/>
    <w:rsid w:val="005C5932"/>
    <w:rsid w:val="005C6817"/>
    <w:rsid w:val="005E0114"/>
    <w:rsid w:val="005E2917"/>
    <w:rsid w:val="00615BAE"/>
    <w:rsid w:val="00616043"/>
    <w:rsid w:val="00623D0E"/>
    <w:rsid w:val="006277AF"/>
    <w:rsid w:val="00640B2C"/>
    <w:rsid w:val="006454BF"/>
    <w:rsid w:val="00667CAD"/>
    <w:rsid w:val="00676107"/>
    <w:rsid w:val="00681D5E"/>
    <w:rsid w:val="006C0257"/>
    <w:rsid w:val="006C0E29"/>
    <w:rsid w:val="006D30FE"/>
    <w:rsid w:val="006D3757"/>
    <w:rsid w:val="006F7348"/>
    <w:rsid w:val="006F796D"/>
    <w:rsid w:val="0070155F"/>
    <w:rsid w:val="0070795B"/>
    <w:rsid w:val="0071169A"/>
    <w:rsid w:val="00726E8F"/>
    <w:rsid w:val="00731581"/>
    <w:rsid w:val="007372A4"/>
    <w:rsid w:val="00741B04"/>
    <w:rsid w:val="007432A4"/>
    <w:rsid w:val="0076115C"/>
    <w:rsid w:val="007664F3"/>
    <w:rsid w:val="007669C1"/>
    <w:rsid w:val="0079197C"/>
    <w:rsid w:val="007A35B9"/>
    <w:rsid w:val="007B655E"/>
    <w:rsid w:val="007B77D6"/>
    <w:rsid w:val="007C0B6E"/>
    <w:rsid w:val="007C333B"/>
    <w:rsid w:val="007D4836"/>
    <w:rsid w:val="007E2C84"/>
    <w:rsid w:val="007E3545"/>
    <w:rsid w:val="007E7311"/>
    <w:rsid w:val="007F0095"/>
    <w:rsid w:val="00824427"/>
    <w:rsid w:val="008338F7"/>
    <w:rsid w:val="00836397"/>
    <w:rsid w:val="00845054"/>
    <w:rsid w:val="00852D1C"/>
    <w:rsid w:val="00856147"/>
    <w:rsid w:val="00860F40"/>
    <w:rsid w:val="008615C9"/>
    <w:rsid w:val="00864020"/>
    <w:rsid w:val="00876D94"/>
    <w:rsid w:val="00877659"/>
    <w:rsid w:val="00883D01"/>
    <w:rsid w:val="008979D5"/>
    <w:rsid w:val="008A41F4"/>
    <w:rsid w:val="008A4C3B"/>
    <w:rsid w:val="008B2AD7"/>
    <w:rsid w:val="008D4206"/>
    <w:rsid w:val="008D6B7E"/>
    <w:rsid w:val="008D7845"/>
    <w:rsid w:val="0091252B"/>
    <w:rsid w:val="009226B7"/>
    <w:rsid w:val="00923B23"/>
    <w:rsid w:val="00924F7E"/>
    <w:rsid w:val="00937ED0"/>
    <w:rsid w:val="009444AF"/>
    <w:rsid w:val="00952797"/>
    <w:rsid w:val="0097049B"/>
    <w:rsid w:val="009777D3"/>
    <w:rsid w:val="009859E6"/>
    <w:rsid w:val="009915E4"/>
    <w:rsid w:val="0099621E"/>
    <w:rsid w:val="00996BFC"/>
    <w:rsid w:val="009A0A5D"/>
    <w:rsid w:val="009C6933"/>
    <w:rsid w:val="00A01923"/>
    <w:rsid w:val="00A04C7A"/>
    <w:rsid w:val="00A058E5"/>
    <w:rsid w:val="00A10C1A"/>
    <w:rsid w:val="00A138B5"/>
    <w:rsid w:val="00A2072E"/>
    <w:rsid w:val="00A237BB"/>
    <w:rsid w:val="00A46DD6"/>
    <w:rsid w:val="00A509AB"/>
    <w:rsid w:val="00A56C8F"/>
    <w:rsid w:val="00A70173"/>
    <w:rsid w:val="00A82078"/>
    <w:rsid w:val="00A838C8"/>
    <w:rsid w:val="00A91C42"/>
    <w:rsid w:val="00A9516B"/>
    <w:rsid w:val="00A9780A"/>
    <w:rsid w:val="00AA00AF"/>
    <w:rsid w:val="00AA10A8"/>
    <w:rsid w:val="00AA2FC9"/>
    <w:rsid w:val="00AB120D"/>
    <w:rsid w:val="00AB283D"/>
    <w:rsid w:val="00AD312E"/>
    <w:rsid w:val="00AD4B09"/>
    <w:rsid w:val="00AE3EAF"/>
    <w:rsid w:val="00AE50CB"/>
    <w:rsid w:val="00B024B0"/>
    <w:rsid w:val="00B1167E"/>
    <w:rsid w:val="00B22503"/>
    <w:rsid w:val="00B34EDA"/>
    <w:rsid w:val="00B407C6"/>
    <w:rsid w:val="00B41762"/>
    <w:rsid w:val="00B51748"/>
    <w:rsid w:val="00B57198"/>
    <w:rsid w:val="00B83A69"/>
    <w:rsid w:val="00B85023"/>
    <w:rsid w:val="00BA2456"/>
    <w:rsid w:val="00BA261B"/>
    <w:rsid w:val="00BA469B"/>
    <w:rsid w:val="00BA7E28"/>
    <w:rsid w:val="00BB4A5B"/>
    <w:rsid w:val="00BC5E94"/>
    <w:rsid w:val="00BF2534"/>
    <w:rsid w:val="00BF6567"/>
    <w:rsid w:val="00BF66AE"/>
    <w:rsid w:val="00BF79DC"/>
    <w:rsid w:val="00C05A72"/>
    <w:rsid w:val="00C212A5"/>
    <w:rsid w:val="00C35DE1"/>
    <w:rsid w:val="00C3795C"/>
    <w:rsid w:val="00C442D2"/>
    <w:rsid w:val="00C4634C"/>
    <w:rsid w:val="00C524AA"/>
    <w:rsid w:val="00C54689"/>
    <w:rsid w:val="00C81B3A"/>
    <w:rsid w:val="00CA392B"/>
    <w:rsid w:val="00CB26F9"/>
    <w:rsid w:val="00CB6C08"/>
    <w:rsid w:val="00CC4E77"/>
    <w:rsid w:val="00CD0DCA"/>
    <w:rsid w:val="00CD7EB8"/>
    <w:rsid w:val="00D12F61"/>
    <w:rsid w:val="00D201C6"/>
    <w:rsid w:val="00D638E0"/>
    <w:rsid w:val="00D716BA"/>
    <w:rsid w:val="00D8404D"/>
    <w:rsid w:val="00D94144"/>
    <w:rsid w:val="00DA69A8"/>
    <w:rsid w:val="00DC2952"/>
    <w:rsid w:val="00DE3B70"/>
    <w:rsid w:val="00DF1AB7"/>
    <w:rsid w:val="00E07C02"/>
    <w:rsid w:val="00E1254E"/>
    <w:rsid w:val="00E12B06"/>
    <w:rsid w:val="00E15BF6"/>
    <w:rsid w:val="00E2719F"/>
    <w:rsid w:val="00E2737E"/>
    <w:rsid w:val="00E51D93"/>
    <w:rsid w:val="00E566A3"/>
    <w:rsid w:val="00E71CB9"/>
    <w:rsid w:val="00E7357F"/>
    <w:rsid w:val="00E73698"/>
    <w:rsid w:val="00E74923"/>
    <w:rsid w:val="00E77E23"/>
    <w:rsid w:val="00E8251C"/>
    <w:rsid w:val="00E83FEC"/>
    <w:rsid w:val="00E844A0"/>
    <w:rsid w:val="00E87B25"/>
    <w:rsid w:val="00F13ED2"/>
    <w:rsid w:val="00F25BD6"/>
    <w:rsid w:val="00F27ACB"/>
    <w:rsid w:val="00F3616F"/>
    <w:rsid w:val="00F40F5A"/>
    <w:rsid w:val="00F4241B"/>
    <w:rsid w:val="00F6618F"/>
    <w:rsid w:val="00F70DD5"/>
    <w:rsid w:val="00F712D2"/>
    <w:rsid w:val="00F73165"/>
    <w:rsid w:val="00F90BCE"/>
    <w:rsid w:val="00FC2881"/>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2" type="connector" idref="#Straight Arrow Connector 1"/>
      </o:rules>
    </o:shapelayout>
  </w:shapeDefaults>
  <w:decimalSymbol w:val="."/>
  <w:listSeparator w:val=","/>
  <w15:docId w15:val="{A8EAFAA6-1D6B-4962-836F-4AC5E538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6B7"/>
    <w:pPr>
      <w:jc w:val="both"/>
    </w:pPr>
    <w:rPr>
      <w:rFonts w:eastAsia="Times New Roman" w:cs="Arial"/>
      <w:sz w:val="22"/>
      <w:szCs w:val="24"/>
      <w:lang w:val="en-AU" w:eastAsia="en-AU"/>
    </w:rPr>
  </w:style>
  <w:style w:type="paragraph" w:styleId="Heading1">
    <w:name w:val="heading 1"/>
    <w:basedOn w:val="Normal"/>
    <w:next w:val="Normal"/>
    <w:link w:val="Heading1Char"/>
    <w:uiPriority w:val="1"/>
    <w:semiHidden/>
    <w:unhideWhenUsed/>
    <w:rsid w:val="00554335"/>
    <w:pPr>
      <w:keepNext/>
      <w:spacing w:before="240" w:after="60"/>
      <w:jc w:val="left"/>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1"/>
    <w:semiHidden/>
    <w:unhideWhenUsed/>
    <w:qFormat/>
    <w:rsid w:val="00E73698"/>
    <w:pPr>
      <w:keepNext/>
      <w:spacing w:before="240" w:after="60"/>
      <w:jc w:val="left"/>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1"/>
    <w:semiHidden/>
    <w:unhideWhenUsed/>
    <w:qFormat/>
    <w:rsid w:val="00E73698"/>
    <w:pPr>
      <w:keepNext/>
      <w:spacing w:before="240" w:after="60"/>
      <w:jc w:val="left"/>
      <w:outlineLvl w:val="2"/>
    </w:pPr>
    <w:rPr>
      <w:rFonts w:asciiTheme="majorHAnsi" w:eastAsiaTheme="majorEastAsia" w:hAnsiTheme="majorHAnsi" w:cstheme="majorBidi"/>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after="200"/>
      <w:jc w:val="left"/>
      <w:outlineLvl w:val="0"/>
    </w:pPr>
    <w:rPr>
      <w:rFonts w:eastAsia="Cambria"/>
      <w:color w:val="00BCE4"/>
      <w:sz w:val="32"/>
      <w:szCs w:val="52"/>
      <w:lang w:val="en-US" w:eastAsia="en-US"/>
    </w:rPr>
  </w:style>
  <w:style w:type="paragraph" w:customStyle="1" w:styleId="AHPRAbody">
    <w:name w:val="AHPRA body"/>
    <w:basedOn w:val="Normal"/>
    <w:link w:val="AHPRAbodyChar"/>
    <w:qFormat/>
    <w:rsid w:val="00E73698"/>
    <w:pPr>
      <w:spacing w:after="200"/>
      <w:jc w:val="left"/>
    </w:pPr>
    <w:rPr>
      <w:rFonts w:eastAsia="Cambria"/>
      <w:sz w:val="20"/>
      <w:lang w:val="en-US" w:eastAsia="en-US"/>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spacing w:after="200"/>
      <w:jc w:val="left"/>
      <w:outlineLvl w:val="0"/>
    </w:pPr>
    <w:rPr>
      <w:rFonts w:eastAsia="Cambria"/>
      <w:color w:val="5F6062"/>
      <w:sz w:val="28"/>
      <w:szCs w:val="52"/>
      <w:lang w:val="en-US" w:eastAsia="en-US"/>
    </w:rPr>
  </w:style>
  <w:style w:type="paragraph" w:customStyle="1" w:styleId="AHPRASubheading">
    <w:name w:val="AHPRA Subheading"/>
    <w:basedOn w:val="Normal"/>
    <w:qFormat/>
    <w:rsid w:val="00A10C1A"/>
    <w:pPr>
      <w:spacing w:before="200" w:after="200"/>
      <w:jc w:val="left"/>
    </w:pPr>
    <w:rPr>
      <w:rFonts w:eastAsia="Cambria" w:cs="Times New Roman"/>
      <w:b/>
      <w:color w:val="007DC3"/>
      <w:sz w:val="20"/>
      <w:lang w:val="en-US" w:eastAsia="en-US"/>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ind w:left="369" w:hanging="369"/>
      <w:jc w:val="left"/>
    </w:pPr>
    <w:rPr>
      <w:rFonts w:eastAsia="Cambria" w:cs="Times New Roman"/>
      <w:sz w:val="20"/>
      <w:lang w:val="en-US" w:eastAsia="en-US"/>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rFonts w:eastAsia="Cambria" w:cs="Times New Roman"/>
      <w:b/>
      <w:sz w:val="20"/>
      <w:lang w:val="en-US" w:eastAsia="en-US"/>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spacing w:after="200"/>
      <w:jc w:val="left"/>
    </w:pPr>
    <w:rPr>
      <w:rFonts w:eastAsia="Cambria" w:cs="Times New Roman"/>
      <w:sz w:val="24"/>
      <w:lang w:val="en-US" w:eastAsia="en-US"/>
    </w:r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pPr>
      <w:spacing w:after="200"/>
      <w:jc w:val="left"/>
    </w:pPr>
    <w:rPr>
      <w:rFonts w:eastAsia="Cambria" w:cs="Times New Roman"/>
      <w:sz w:val="20"/>
      <w:szCs w:val="20"/>
      <w:lang w:val="en-US" w:eastAsia="en-US"/>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nhideWhenUsed/>
    <w:rsid w:val="008979D5"/>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bodybluebold">
    <w:name w:val="AHPRA body blue bold"/>
    <w:basedOn w:val="AHPRASubheading"/>
    <w:uiPriority w:val="1"/>
    <w:rsid w:val="00996BFC"/>
  </w:style>
  <w:style w:type="paragraph" w:customStyle="1" w:styleId="AHPRAnumberedsubheadinglevel10">
    <w:name w:val="AHPRA numbered subheading level 1"/>
    <w:basedOn w:val="AHPRASubheading"/>
    <w:next w:val="Normal"/>
    <w:rsid w:val="00996BFC"/>
    <w:pPr>
      <w:numPr>
        <w:numId w:val="14"/>
      </w:numPr>
    </w:pPr>
    <w:rPr>
      <w:color w:val="008EC4"/>
    </w:rPr>
  </w:style>
  <w:style w:type="paragraph" w:customStyle="1" w:styleId="AHPRAnumberedbulletpoint">
    <w:name w:val="AHPRA numbered bullet point"/>
    <w:basedOn w:val="AHPRAnumberedsubheadinglevel10"/>
    <w:rsid w:val="00996BFC"/>
    <w:pPr>
      <w:numPr>
        <w:ilvl w:val="1"/>
      </w:numPr>
    </w:pPr>
    <w:rPr>
      <w:b w:val="0"/>
      <w:color w:val="auto"/>
    </w:rPr>
  </w:style>
  <w:style w:type="numbering" w:customStyle="1" w:styleId="AHPRAlist">
    <w:name w:val="AHPRA list"/>
    <w:uiPriority w:val="99"/>
    <w:rsid w:val="00996BFC"/>
    <w:pPr>
      <w:numPr>
        <w:numId w:val="14"/>
      </w:numPr>
    </w:pPr>
  </w:style>
  <w:style w:type="paragraph" w:customStyle="1" w:styleId="AHPRAHeadline">
    <w:name w:val="AHPRA Headline"/>
    <w:basedOn w:val="Normal"/>
    <w:qFormat/>
    <w:rsid w:val="00B1167E"/>
    <w:pPr>
      <w:spacing w:after="200"/>
      <w:jc w:val="left"/>
    </w:pPr>
    <w:rPr>
      <w:rFonts w:eastAsia="Cambria" w:cs="Times New Roman"/>
      <w:color w:val="008EC4"/>
      <w:sz w:val="28"/>
      <w:lang w:eastAsia="en-US"/>
    </w:rPr>
  </w:style>
  <w:style w:type="paragraph" w:customStyle="1" w:styleId="AHPRATitle">
    <w:name w:val="AHPRA Title"/>
    <w:basedOn w:val="Normal"/>
    <w:next w:val="AHPRAHeadline"/>
    <w:qFormat/>
    <w:rsid w:val="00B1167E"/>
    <w:pPr>
      <w:spacing w:after="200"/>
      <w:jc w:val="left"/>
      <w:outlineLvl w:val="0"/>
    </w:pPr>
    <w:rPr>
      <w:rFonts w:eastAsia="Cambria"/>
      <w:color w:val="808080"/>
      <w:sz w:val="44"/>
      <w:szCs w:val="52"/>
      <w:lang w:eastAsia="en-US"/>
    </w:rPr>
  </w:style>
  <w:style w:type="character" w:styleId="CommentReference">
    <w:name w:val="annotation reference"/>
    <w:basedOn w:val="DefaultParagraphFont"/>
    <w:uiPriority w:val="99"/>
    <w:semiHidden/>
    <w:unhideWhenUsed/>
    <w:rsid w:val="00B1167E"/>
    <w:rPr>
      <w:sz w:val="16"/>
      <w:szCs w:val="16"/>
    </w:rPr>
  </w:style>
  <w:style w:type="paragraph" w:styleId="CommentText">
    <w:name w:val="annotation text"/>
    <w:basedOn w:val="Normal"/>
    <w:link w:val="CommentTextChar"/>
    <w:uiPriority w:val="99"/>
    <w:semiHidden/>
    <w:unhideWhenUsed/>
    <w:rsid w:val="00B1167E"/>
    <w:pPr>
      <w:spacing w:after="200"/>
      <w:jc w:val="left"/>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B1167E"/>
    <w:rPr>
      <w:rFonts w:asciiTheme="minorHAnsi" w:eastAsiaTheme="minorHAnsi" w:hAnsiTheme="minorHAnsi" w:cstheme="minorBidi"/>
      <w:lang w:val="en-AU"/>
    </w:rPr>
  </w:style>
  <w:style w:type="paragraph" w:styleId="CommentSubject">
    <w:name w:val="annotation subject"/>
    <w:basedOn w:val="CommentText"/>
    <w:next w:val="CommentText"/>
    <w:link w:val="CommentSubjectChar"/>
    <w:uiPriority w:val="1"/>
    <w:semiHidden/>
    <w:unhideWhenUsed/>
    <w:rsid w:val="00A138B5"/>
    <w:pPr>
      <w:spacing w:after="0"/>
      <w:jc w:val="both"/>
    </w:pPr>
    <w:rPr>
      <w:rFonts w:ascii="Arial" w:eastAsia="Times New Roman" w:hAnsi="Arial" w:cs="Arial"/>
      <w:b/>
      <w:bCs/>
      <w:lang w:eastAsia="en-AU"/>
    </w:rPr>
  </w:style>
  <w:style w:type="character" w:customStyle="1" w:styleId="CommentSubjectChar">
    <w:name w:val="Comment Subject Char"/>
    <w:basedOn w:val="CommentTextChar"/>
    <w:link w:val="CommentSubject"/>
    <w:uiPriority w:val="1"/>
    <w:semiHidden/>
    <w:rsid w:val="00A138B5"/>
    <w:rPr>
      <w:rFonts w:asciiTheme="minorHAnsi" w:eastAsia="Times New Roman" w:hAnsiTheme="minorHAnsi" w:cs="Arial"/>
      <w:b/>
      <w:bCs/>
      <w:lang w:val="en-AU" w:eastAsia="en-AU"/>
    </w:rPr>
  </w:style>
  <w:style w:type="paragraph" w:styleId="Revision">
    <w:name w:val="Revision"/>
    <w:hidden/>
    <w:rsid w:val="00A138B5"/>
    <w:rPr>
      <w:rFonts w:eastAsia="Times New Roman" w:cs="Arial"/>
      <w:sz w:val="22"/>
      <w:szCs w:val="24"/>
      <w:lang w:val="en-AU" w:eastAsia="en-AU"/>
    </w:rPr>
  </w:style>
  <w:style w:type="paragraph" w:customStyle="1" w:styleId="AHPRASubhead">
    <w:name w:val="AHPRA Subhead"/>
    <w:basedOn w:val="Normal"/>
    <w:qFormat/>
    <w:rsid w:val="00C4634C"/>
    <w:pPr>
      <w:spacing w:after="200"/>
      <w:jc w:val="left"/>
    </w:pPr>
    <w:rPr>
      <w:rFonts w:eastAsia="Cambria" w:cs="Times New Roman"/>
      <w:b/>
      <w:color w:val="008EC4"/>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663320127">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3239464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steopathyboard.gov.au" TargetMode="External"/><Relationship Id="rId18" Type="http://schemas.openxmlformats.org/officeDocument/2006/relationships/hyperlink" Target="http://www.osteopathyboard.gov.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osteopathyboard.gov.au/Codes-Guidelines/Guidelines-for-advertising-regulated-health-services.aspx" TargetMode="External"/><Relationship Id="rId17" Type="http://schemas.openxmlformats.org/officeDocument/2006/relationships/hyperlink" Target="http://www.ahpra.gov.au/About-AHPRA/Contact-Us.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hpra.gov.au/Notifications/Make-a-complaint.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teopathyboard.gov.au/Codes-Guidelines/Code-of-conduct.aspx"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ahpra.gov.au/Notifications/Make-a-complaint/What-is-an-offence.aspx" TargetMode="External"/><Relationship Id="rId23" Type="http://schemas.openxmlformats.org/officeDocument/2006/relationships/header" Target="header2.xml"/><Relationship Id="rId10" Type="http://schemas.openxmlformats.org/officeDocument/2006/relationships/hyperlink" Target="http://www.ahpra.gov.au/Legislation-and-Publications/Legislation.aspx" TargetMode="External"/><Relationship Id="rId19" Type="http://schemas.openxmlformats.org/officeDocument/2006/relationships/hyperlink" Target="https://www.ahpra.gov.au/About-AHPRA/Contact-Us/Make-an-Enquiry.aspx" TargetMode="External"/><Relationship Id="rId4" Type="http://schemas.openxmlformats.org/officeDocument/2006/relationships/settings" Target="settings.xml"/><Relationship Id="rId9" Type="http://schemas.openxmlformats.org/officeDocument/2006/relationships/hyperlink" Target="http://www.ahpra.gov.au/Support/FAQ.aspx" TargetMode="External"/><Relationship Id="rId14" Type="http://schemas.openxmlformats.org/officeDocument/2006/relationships/hyperlink" Target="http://www.osteopathyboard.gov.au"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oho.qld.gov.au/" TargetMode="External"/><Relationship Id="rId1" Type="http://schemas.openxmlformats.org/officeDocument/2006/relationships/hyperlink" Target="http://www.hpca.nsw.gov.au/Osteopaths-Council/Home/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13E72-C85A-4AA2-8D51-EAD40A110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Position statement - Statement on paediatric care</vt:lpstr>
    </vt:vector>
  </TitlesOfParts>
  <Company>Johanna Villani Design</Company>
  <LinksUpToDate>false</LinksUpToDate>
  <CharactersWithSpaces>6755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statement - Statement on paediatric care</dc:title>
  <dc:subject>Position statement</dc:subject>
  <dc:creator>Osteopathy Board</dc:creator>
  <cp:lastModifiedBy>Fumi Goto</cp:lastModifiedBy>
  <cp:revision>2</cp:revision>
  <cp:lastPrinted>2012-04-24T01:37:00Z</cp:lastPrinted>
  <dcterms:created xsi:type="dcterms:W3CDTF">2017-10-31T23:16:00Z</dcterms:created>
  <dcterms:modified xsi:type="dcterms:W3CDTF">2017-10-31T23:16:00Z</dcterms:modified>
</cp:coreProperties>
</file>