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984E15" w:rsidP="008A56B3">
      <w:pPr>
        <w:pStyle w:val="AHPRADocumenttitle"/>
      </w:pPr>
      <w:r>
        <w:rPr>
          <w:noProof/>
          <w:lang w:val="en-US"/>
        </w:rPr>
        <w:t>Communiqué</w:t>
      </w:r>
    </w:p>
    <w:p w:rsidR="009138F9" w:rsidRDefault="007D10E6" w:rsidP="000E29C2">
      <w:pPr>
        <w:spacing w:line="360" w:lineRule="auto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pt;margin-top:2pt;width:160.3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du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"/>
        </w:pict>
      </w:r>
    </w:p>
    <w:p w:rsidR="00622247" w:rsidRDefault="00A0699D" w:rsidP="00984E15">
      <w:pPr>
        <w:pStyle w:val="AHPRADocumentsubheading"/>
      </w:pPr>
      <w:r>
        <w:t>December</w:t>
      </w:r>
      <w:r w:rsidR="00C7035B">
        <w:t xml:space="preserve"> 201</w:t>
      </w:r>
      <w:r w:rsidR="00817334">
        <w:t>6</w:t>
      </w:r>
      <w:r w:rsidR="00984E15" w:rsidRPr="00984E15">
        <w:t xml:space="preserve"> meeting of the Osteopathy Board of Australia</w:t>
      </w:r>
    </w:p>
    <w:p w:rsidR="00312836" w:rsidRDefault="00984E15">
      <w:pPr>
        <w:pStyle w:val="AHPRABody0"/>
      </w:pPr>
      <w:r>
        <w:rPr>
          <w:color w:val="000000"/>
        </w:rPr>
        <w:t xml:space="preserve">The </w:t>
      </w:r>
      <w:r w:rsidR="00A05C5C">
        <w:rPr>
          <w:color w:val="000000"/>
        </w:rPr>
        <w:t>86</w:t>
      </w:r>
      <w:r w:rsidR="007F61FC" w:rsidRPr="007F61FC">
        <w:rPr>
          <w:color w:val="000000"/>
          <w:vertAlign w:val="superscript"/>
        </w:rPr>
        <w:t>th</w:t>
      </w:r>
      <w:r w:rsidR="007F61FC">
        <w:rPr>
          <w:color w:val="000000"/>
        </w:rPr>
        <w:t xml:space="preserve"> </w:t>
      </w:r>
      <w:r w:rsidRPr="00DF1D2B">
        <w:rPr>
          <w:color w:val="000000"/>
        </w:rPr>
        <w:t xml:space="preserve">meeting of the </w:t>
      </w:r>
      <w:bookmarkStart w:id="0" w:name="_GoBack"/>
      <w:bookmarkEnd w:id="0"/>
      <w:r w:rsidRPr="00DF1D2B">
        <w:rPr>
          <w:color w:val="000000"/>
        </w:rPr>
        <w:t xml:space="preserve">Osteopathy Board of Australia </w:t>
      </w:r>
      <w:r>
        <w:rPr>
          <w:color w:val="000000"/>
        </w:rPr>
        <w:t>(the Board) was</w:t>
      </w:r>
      <w:r w:rsidRPr="00DF1D2B">
        <w:rPr>
          <w:color w:val="000000"/>
        </w:rPr>
        <w:t xml:space="preserve"> held</w:t>
      </w:r>
      <w:r>
        <w:rPr>
          <w:color w:val="000000"/>
        </w:rPr>
        <w:t xml:space="preserve"> on</w:t>
      </w:r>
      <w:r w:rsidRPr="00EE5AB8">
        <w:rPr>
          <w:lang w:val="en-GB"/>
        </w:rPr>
        <w:t xml:space="preserve"> </w:t>
      </w:r>
      <w:r w:rsidR="000542EA">
        <w:rPr>
          <w:lang w:val="en-GB"/>
        </w:rPr>
        <w:t>15 December</w:t>
      </w:r>
      <w:r w:rsidR="00C7035B">
        <w:rPr>
          <w:lang w:val="en-GB"/>
        </w:rPr>
        <w:t xml:space="preserve"> 201</w:t>
      </w:r>
      <w:r w:rsidR="00A05C5C">
        <w:rPr>
          <w:lang w:val="en-GB"/>
        </w:rPr>
        <w:t>6</w:t>
      </w:r>
      <w:r>
        <w:rPr>
          <w:lang w:val="en-GB"/>
        </w:rPr>
        <w:t xml:space="preserve"> in </w:t>
      </w:r>
      <w:r w:rsidR="00A802C1">
        <w:rPr>
          <w:lang w:val="en-GB"/>
        </w:rPr>
        <w:t>Melbourne</w:t>
      </w:r>
      <w:r>
        <w:t>. The Board publishes</w:t>
      </w:r>
      <w:r w:rsidRPr="00F362BF">
        <w:t xml:space="preserve"> this communiqué on our website and email</w:t>
      </w:r>
      <w:r>
        <w:t>s</w:t>
      </w:r>
      <w:r w:rsidRPr="00F362BF">
        <w:t xml:space="preserve"> it to a broad range of stakeholders. </w:t>
      </w:r>
      <w:r w:rsidRPr="00D97E48">
        <w:t xml:space="preserve">At each meeting, the Board considers a wide range of issues, many of which are routine and are </w:t>
      </w:r>
      <w:r>
        <w:t>not included in this communiqué</w:t>
      </w:r>
      <w:r w:rsidRPr="00F362BF">
        <w:t>.</w:t>
      </w:r>
    </w:p>
    <w:p w:rsidR="00C2594A" w:rsidRDefault="00C2594A">
      <w:pPr>
        <w:pStyle w:val="AHPRABody0"/>
      </w:pPr>
    </w:p>
    <w:p w:rsidR="009C3EEA" w:rsidRDefault="008626DB">
      <w:pPr>
        <w:pStyle w:val="AHPRASubhead"/>
      </w:pPr>
      <w:r>
        <w:t>Accredited programs of study</w:t>
      </w:r>
    </w:p>
    <w:p w:rsidR="000E00BF" w:rsidRDefault="000E00BF" w:rsidP="008626DB">
      <w:pPr>
        <w:pStyle w:val="AHPRABody0"/>
      </w:pPr>
      <w:r w:rsidRPr="008141BF">
        <w:t xml:space="preserve">One of the objectives of the </w:t>
      </w:r>
      <w:r w:rsidR="00C2594A">
        <w:t xml:space="preserve">Health Practitioner Regulation </w:t>
      </w:r>
      <w:r w:rsidRPr="008141BF">
        <w:t>National Law</w:t>
      </w:r>
      <w:r w:rsidR="00C2594A">
        <w:t>, as in force in each state and territory (the National Law)</w:t>
      </w:r>
      <w:r w:rsidRPr="008141BF">
        <w:t xml:space="preserve"> is to facilitate the provision of high quality education and training of health practitioners. The National Law sets out the role of the Board and its appointed accreditation authority, the Austral</w:t>
      </w:r>
      <w:r>
        <w:t>as</w:t>
      </w:r>
      <w:r w:rsidRPr="008141BF">
        <w:t xml:space="preserve">ian Osteopathic </w:t>
      </w:r>
      <w:r>
        <w:t xml:space="preserve">Accreditation </w:t>
      </w:r>
      <w:r w:rsidRPr="008141BF">
        <w:t>Council (AO</w:t>
      </w:r>
      <w:r>
        <w:t>A</w:t>
      </w:r>
      <w:r w:rsidRPr="008141BF">
        <w:t xml:space="preserve">C), </w:t>
      </w:r>
      <w:r w:rsidR="008626DB">
        <w:t xml:space="preserve">regarding </w:t>
      </w:r>
      <w:r w:rsidRPr="008141BF">
        <w:t>the accreditation and approval of education providers and programs of study for the osteopathy profession.</w:t>
      </w:r>
    </w:p>
    <w:p w:rsidR="008626DB" w:rsidRDefault="008626DB" w:rsidP="008626DB">
      <w:pPr>
        <w:pStyle w:val="AHPRABody0"/>
      </w:pPr>
    </w:p>
    <w:p w:rsidR="000E00BF" w:rsidRDefault="000E00BF" w:rsidP="008626DB">
      <w:pPr>
        <w:pStyle w:val="AHPRABody0"/>
      </w:pPr>
      <w:r>
        <w:t>The AOAC</w:t>
      </w:r>
      <w:r w:rsidRPr="00B724CB">
        <w:t xml:space="preserve"> is responsible for accrediting individual programs of study after it is reasonably satisfied:</w:t>
      </w:r>
    </w:p>
    <w:p w:rsidR="008626DB" w:rsidRPr="00B724CB" w:rsidRDefault="008626DB" w:rsidP="008626DB">
      <w:pPr>
        <w:pStyle w:val="AHPRABody0"/>
      </w:pPr>
    </w:p>
    <w:p w:rsidR="009C3EEA" w:rsidRPr="008626DB" w:rsidRDefault="000E00BF" w:rsidP="008626DB">
      <w:pPr>
        <w:pStyle w:val="Bulletedlist"/>
      </w:pPr>
      <w:r w:rsidRPr="008626DB">
        <w:t>the program of study meets an accreditation standard</w:t>
      </w:r>
      <w:r w:rsidR="00C2594A" w:rsidRPr="008626DB">
        <w:t>,</w:t>
      </w:r>
      <w:r w:rsidRPr="008626DB">
        <w:t xml:space="preserve"> or</w:t>
      </w:r>
    </w:p>
    <w:p w:rsidR="009C3EEA" w:rsidRPr="008626DB" w:rsidRDefault="0071188D" w:rsidP="008626DB">
      <w:pPr>
        <w:pStyle w:val="Bulletedlist"/>
      </w:pPr>
      <w:r>
        <w:t xml:space="preserve">it </w:t>
      </w:r>
      <w:r w:rsidR="000E00BF" w:rsidRPr="008626DB">
        <w:t>substantially meets an approved accreditation standard and the imposition of conditions on the approval will ensure the program meets the standard within a reasonable time frame.</w:t>
      </w:r>
    </w:p>
    <w:p w:rsidR="009C3EEA" w:rsidRDefault="009C3EEA" w:rsidP="008626DB">
      <w:pPr>
        <w:pStyle w:val="Bulletedlist"/>
        <w:numPr>
          <w:ilvl w:val="0"/>
          <w:numId w:val="0"/>
        </w:numPr>
      </w:pPr>
    </w:p>
    <w:p w:rsidR="009C3EEA" w:rsidRPr="008626DB" w:rsidRDefault="000E00BF" w:rsidP="008626DB">
      <w:pPr>
        <w:pStyle w:val="AHPRABody0"/>
      </w:pPr>
      <w:r w:rsidRPr="008626DB">
        <w:t>The AOAC can also refuse to accredit a program of study. The AOAC must give the Board a report after it decides to accredit a program of study (with or without conditions). After being given an accreditation report, the Board may approve, or refuse to approve, the accredited program of study as providing a qualification for the purposes of registration. An approval may be granted subject to conditions.</w:t>
      </w:r>
    </w:p>
    <w:p w:rsidR="009C3EEA" w:rsidRDefault="009C3EEA">
      <w:pPr>
        <w:pStyle w:val="AHPRABody0"/>
      </w:pPr>
    </w:p>
    <w:p w:rsidR="009C3EEA" w:rsidRDefault="000E00BF">
      <w:pPr>
        <w:pStyle w:val="AHPRABody0"/>
      </w:pPr>
      <w:r w:rsidRPr="003A1B2A">
        <w:t xml:space="preserve">Programs of study approved by the Board are published </w:t>
      </w:r>
      <w:r>
        <w:t xml:space="preserve">on the Board’s </w:t>
      </w:r>
      <w:hyperlink r:id="rId8" w:history="1">
        <w:r w:rsidRPr="000E00BF">
          <w:rPr>
            <w:rStyle w:val="Hyperlink"/>
          </w:rPr>
          <w:t>website</w:t>
        </w:r>
      </w:hyperlink>
      <w:r>
        <w:t xml:space="preserve">. </w:t>
      </w:r>
    </w:p>
    <w:p w:rsidR="009C3EEA" w:rsidRDefault="009C3EEA">
      <w:pPr>
        <w:pStyle w:val="AHPRABody0"/>
      </w:pPr>
    </w:p>
    <w:p w:rsidR="008626DB" w:rsidRDefault="000E00BF" w:rsidP="008626DB">
      <w:pPr>
        <w:pStyle w:val="AHPRABody0"/>
      </w:pPr>
      <w:r>
        <w:t>The Board made the following dec</w:t>
      </w:r>
      <w:r w:rsidR="008626DB">
        <w:t>isions at the December meeting.</w:t>
      </w:r>
    </w:p>
    <w:p w:rsidR="008626DB" w:rsidRDefault="008626DB" w:rsidP="008626DB">
      <w:pPr>
        <w:pStyle w:val="AHPRABody0"/>
      </w:pPr>
    </w:p>
    <w:p w:rsidR="009C3EEA" w:rsidRPr="008626DB" w:rsidRDefault="000E00BF" w:rsidP="008626DB">
      <w:pPr>
        <w:pStyle w:val="AHPRABody0"/>
        <w:rPr>
          <w:b/>
        </w:rPr>
      </w:pPr>
      <w:r w:rsidRPr="008626DB">
        <w:rPr>
          <w:b/>
        </w:rPr>
        <w:t xml:space="preserve">Approval of programs of study at </w:t>
      </w:r>
      <w:r w:rsidR="00A05C5C" w:rsidRPr="008626DB">
        <w:rPr>
          <w:b/>
        </w:rPr>
        <w:t>Southern Cross</w:t>
      </w:r>
      <w:r w:rsidRPr="008626DB">
        <w:rPr>
          <w:b/>
        </w:rPr>
        <w:t xml:space="preserve"> University</w:t>
      </w:r>
    </w:p>
    <w:p w:rsidR="008626DB" w:rsidRDefault="008626DB">
      <w:pPr>
        <w:pStyle w:val="AHPRABody0"/>
        <w:rPr>
          <w:color w:val="000000" w:themeColor="text1"/>
        </w:rPr>
      </w:pPr>
    </w:p>
    <w:p w:rsidR="009C3EEA" w:rsidRPr="008626DB" w:rsidRDefault="004F7F60" w:rsidP="008626DB">
      <w:pPr>
        <w:pStyle w:val="AHPRABody0"/>
      </w:pPr>
      <w:r w:rsidRPr="008626DB">
        <w:t>Under section 49(1) of the National Law, the Board decided to:</w:t>
      </w:r>
    </w:p>
    <w:p w:rsidR="009C3EEA" w:rsidRDefault="009C3EEA">
      <w:pPr>
        <w:pStyle w:val="AHPRABody0"/>
        <w:rPr>
          <w:color w:val="000000" w:themeColor="text1"/>
        </w:rPr>
      </w:pPr>
    </w:p>
    <w:p w:rsidR="009C3EEA" w:rsidRDefault="004F7F60" w:rsidP="008626DB">
      <w:pPr>
        <w:pStyle w:val="Bulletedlist"/>
      </w:pPr>
      <w:r w:rsidRPr="004F7F60">
        <w:t xml:space="preserve">continue to approve the </w:t>
      </w:r>
      <w:r w:rsidR="00A05C5C" w:rsidRPr="00A05C5C">
        <w:t xml:space="preserve">Bachelor of Clinical Science (Double Major in Osteopathic Studies and Human Structure and Function)/Master of Osteopathic Medicine (the currently accredited program) </w:t>
      </w:r>
      <w:r w:rsidR="00A05C5C">
        <w:t xml:space="preserve">at Southern Cross </w:t>
      </w:r>
      <w:r w:rsidRPr="00A05C5C">
        <w:t xml:space="preserve">University </w:t>
      </w:r>
      <w:r w:rsidRPr="004F7F60">
        <w:t>as providing a qualification for the purpose of registration in the osteopathy profession</w:t>
      </w:r>
      <w:r>
        <w:t>; which is the existing program of study</w:t>
      </w:r>
      <w:r w:rsidR="00C2594A">
        <w:t>,</w:t>
      </w:r>
      <w:r>
        <w:t xml:space="preserve"> and</w:t>
      </w:r>
    </w:p>
    <w:p w:rsidR="009C3EEA" w:rsidRDefault="004F7F60" w:rsidP="008626DB">
      <w:pPr>
        <w:pStyle w:val="Bulletedlist"/>
      </w:pPr>
      <w:r w:rsidRPr="004F7F60">
        <w:t xml:space="preserve">approve </w:t>
      </w:r>
      <w:r w:rsidR="00A05C5C">
        <w:t xml:space="preserve">for the purposes of student registration, </w:t>
      </w:r>
      <w:r w:rsidRPr="00A05C5C">
        <w:t xml:space="preserve">the </w:t>
      </w:r>
      <w:r w:rsidR="00A05C5C" w:rsidRPr="00A05C5C">
        <w:t>Bachelor of Clinical Sciences (Osteopathic Studies)/Master of Osteopathic Medicine at Southern Cross University</w:t>
      </w:r>
      <w:r w:rsidR="00A05C5C">
        <w:rPr>
          <w:sz w:val="22"/>
          <w:szCs w:val="22"/>
        </w:rPr>
        <w:t>,</w:t>
      </w:r>
      <w:r>
        <w:t xml:space="preserve"> which is a new program of study commencing in early 201</w:t>
      </w:r>
      <w:r w:rsidR="00A05C5C">
        <w:t>7</w:t>
      </w:r>
      <w:r>
        <w:t>.</w:t>
      </w:r>
    </w:p>
    <w:p w:rsidR="008626DB" w:rsidRDefault="008626DB" w:rsidP="008626DB">
      <w:pPr>
        <w:pStyle w:val="Bulletedlist"/>
        <w:numPr>
          <w:ilvl w:val="0"/>
          <w:numId w:val="0"/>
        </w:numPr>
      </w:pPr>
    </w:p>
    <w:p w:rsidR="000F71FB" w:rsidRPr="008626DB" w:rsidRDefault="000F71FB" w:rsidP="008626DB">
      <w:pPr>
        <w:pStyle w:val="AHPRASubhead"/>
      </w:pPr>
      <w:r w:rsidRPr="008626DB">
        <w:t>Quarterly registration data</w:t>
      </w:r>
    </w:p>
    <w:p w:rsidR="000E486F" w:rsidRPr="000E486F" w:rsidRDefault="000E486F" w:rsidP="000E486F">
      <w:pPr>
        <w:pStyle w:val="AHPRABody0"/>
        <w:rPr>
          <w:lang w:val="en-US"/>
        </w:rPr>
      </w:pPr>
      <w:r w:rsidRPr="000E486F">
        <w:rPr>
          <w:lang w:val="en-US"/>
        </w:rPr>
        <w:t xml:space="preserve">The Board </w:t>
      </w:r>
      <w:r w:rsidR="00B169C7">
        <w:rPr>
          <w:lang w:val="en-US"/>
        </w:rPr>
        <w:t>recently published its</w:t>
      </w:r>
      <w:r w:rsidRPr="000E486F">
        <w:rPr>
          <w:lang w:val="en-US"/>
        </w:rPr>
        <w:t xml:space="preserve"> </w:t>
      </w:r>
      <w:hyperlink r:id="rId9" w:history="1">
        <w:r w:rsidRPr="00B169C7">
          <w:rPr>
            <w:rStyle w:val="Hyperlink"/>
            <w:lang w:val="en-US"/>
          </w:rPr>
          <w:t>quarterly data</w:t>
        </w:r>
      </w:hyperlink>
      <w:r w:rsidRPr="000E486F">
        <w:rPr>
          <w:lang w:val="en-US"/>
        </w:rPr>
        <w:t xml:space="preserve"> profiling Australia’s </w:t>
      </w:r>
      <w:r>
        <w:rPr>
          <w:lang w:val="en-US"/>
        </w:rPr>
        <w:t>osteopathy</w:t>
      </w:r>
      <w:r w:rsidRPr="000E486F">
        <w:rPr>
          <w:lang w:val="en-US"/>
        </w:rPr>
        <w:t xml:space="preserve"> registrants</w:t>
      </w:r>
      <w:r w:rsidR="00B169C7">
        <w:t>.</w:t>
      </w:r>
    </w:p>
    <w:p w:rsidR="000E486F" w:rsidRDefault="000E486F" w:rsidP="00BC1CBC">
      <w:pPr>
        <w:pStyle w:val="AHPRABody0"/>
        <w:tabs>
          <w:tab w:val="left" w:pos="5801"/>
        </w:tabs>
        <w:rPr>
          <w:rFonts w:eastAsia="Cambria"/>
          <w:lang w:val="en-US" w:eastAsia="en-US"/>
        </w:rPr>
      </w:pPr>
    </w:p>
    <w:p w:rsidR="00312836" w:rsidRDefault="000E486F" w:rsidP="000E486F">
      <w:pPr>
        <w:pStyle w:val="AHPRABody0"/>
      </w:pPr>
      <w:r w:rsidRPr="000E486F">
        <w:rPr>
          <w:rFonts w:eastAsia="Cambria"/>
          <w:lang w:val="en-US" w:eastAsia="en-US"/>
        </w:rPr>
        <w:t>A</w:t>
      </w:r>
      <w:r w:rsidR="00B169C7">
        <w:rPr>
          <w:rFonts w:eastAsia="Cambria"/>
          <w:lang w:val="en-US" w:eastAsia="en-US"/>
        </w:rPr>
        <w:t>s at</w:t>
      </w:r>
      <w:r w:rsidRPr="000E486F">
        <w:rPr>
          <w:rFonts w:eastAsia="Cambria"/>
          <w:lang w:val="en-US" w:eastAsia="en-US"/>
        </w:rPr>
        <w:t xml:space="preserve"> September 201</w:t>
      </w:r>
      <w:r w:rsidR="00A05C5C">
        <w:rPr>
          <w:rFonts w:eastAsia="Cambria"/>
          <w:lang w:val="en-US" w:eastAsia="en-US"/>
        </w:rPr>
        <w:t>6</w:t>
      </w:r>
      <w:r w:rsidRPr="000E486F">
        <w:rPr>
          <w:rFonts w:eastAsia="Cambria"/>
          <w:lang w:val="en-US" w:eastAsia="en-US"/>
        </w:rPr>
        <w:t xml:space="preserve">, there were a total of </w:t>
      </w:r>
      <w:r>
        <w:rPr>
          <w:rFonts w:eastAsia="Cambria"/>
          <w:lang w:val="en-US" w:eastAsia="en-US"/>
        </w:rPr>
        <w:t>2,0</w:t>
      </w:r>
      <w:r w:rsidR="00A05C5C">
        <w:rPr>
          <w:rFonts w:eastAsia="Cambria"/>
          <w:lang w:val="en-US" w:eastAsia="en-US"/>
        </w:rPr>
        <w:t>99</w:t>
      </w:r>
      <w:r w:rsidRPr="000E486F">
        <w:rPr>
          <w:rFonts w:eastAsia="Cambria"/>
          <w:lang w:val="en-US" w:eastAsia="en-US"/>
        </w:rPr>
        <w:t xml:space="preserve"> registered </w:t>
      </w:r>
      <w:r>
        <w:rPr>
          <w:rFonts w:eastAsia="Cambria"/>
          <w:lang w:val="en-US" w:eastAsia="en-US"/>
        </w:rPr>
        <w:t>osteopaths</w:t>
      </w:r>
      <w:r w:rsidRPr="000E486F">
        <w:rPr>
          <w:rFonts w:eastAsia="Cambria"/>
          <w:lang w:val="en-US" w:eastAsia="en-US"/>
        </w:rPr>
        <w:t xml:space="preserve"> comprising of the following number of registrants according to registration type:</w:t>
      </w:r>
    </w:p>
    <w:p w:rsidR="0075638C" w:rsidRPr="0075638C" w:rsidRDefault="0075638C" w:rsidP="0075638C">
      <w:pPr>
        <w:autoSpaceDE w:val="0"/>
        <w:autoSpaceDN w:val="0"/>
        <w:adjustRightInd w:val="0"/>
        <w:spacing w:before="0" w:after="0"/>
        <w:rPr>
          <w:rFonts w:ascii="Symbol" w:hAnsi="Symbol" w:cs="Symbol"/>
          <w:color w:val="000000"/>
          <w:sz w:val="24"/>
          <w:lang w:val="en-US"/>
        </w:rPr>
      </w:pPr>
      <w:r w:rsidRPr="0075638C">
        <w:rPr>
          <w:rFonts w:ascii="Symbol" w:hAnsi="Symbol" w:cs="Symbol"/>
          <w:color w:val="000000"/>
          <w:sz w:val="24"/>
          <w:lang w:val="en-US"/>
        </w:rPr>
        <w:t></w:t>
      </w:r>
    </w:p>
    <w:p w:rsidR="009C3EEA" w:rsidRDefault="00A05C5C">
      <w:pPr>
        <w:pStyle w:val="Bulletedlist"/>
        <w:rPr>
          <w:lang w:val="en-US"/>
        </w:rPr>
      </w:pPr>
      <w:r>
        <w:rPr>
          <w:rFonts w:eastAsia="Times New Roman"/>
        </w:rPr>
        <w:t xml:space="preserve">2,020 </w:t>
      </w:r>
      <w:r w:rsidR="008626DB">
        <w:rPr>
          <w:lang w:val="en-US"/>
        </w:rPr>
        <w:t>– general registration</w:t>
      </w:r>
    </w:p>
    <w:p w:rsidR="009C3EEA" w:rsidRPr="00A05C5C" w:rsidRDefault="00A0699D" w:rsidP="00A05C5C">
      <w:pPr>
        <w:pStyle w:val="Bulletedlist"/>
        <w:rPr>
          <w:lang w:val="en-US"/>
        </w:rPr>
      </w:pPr>
      <w:r>
        <w:rPr>
          <w:lang w:val="en-US"/>
        </w:rPr>
        <w:t>11 – provisional registration</w:t>
      </w:r>
      <w:r w:rsidR="00B169C7" w:rsidRPr="00A05C5C">
        <w:rPr>
          <w:lang w:val="en-US"/>
        </w:rPr>
        <w:t>, and</w:t>
      </w:r>
    </w:p>
    <w:p w:rsidR="009C3EEA" w:rsidRDefault="005D00FC">
      <w:pPr>
        <w:pStyle w:val="Bulletedlist"/>
        <w:rPr>
          <w:lang w:val="en-US"/>
        </w:rPr>
      </w:pPr>
      <w:r>
        <w:rPr>
          <w:lang w:val="en-US"/>
        </w:rPr>
        <w:t>6</w:t>
      </w:r>
      <w:r w:rsidR="00A05C5C">
        <w:rPr>
          <w:lang w:val="en-US"/>
        </w:rPr>
        <w:t>8</w:t>
      </w:r>
      <w:r w:rsidR="0075638C" w:rsidRPr="0075638C">
        <w:rPr>
          <w:lang w:val="en-US"/>
        </w:rPr>
        <w:t xml:space="preserve"> – non-practising registration</w:t>
      </w:r>
      <w:r w:rsidR="00B169C7">
        <w:rPr>
          <w:lang w:val="en-US"/>
        </w:rPr>
        <w:t>.</w:t>
      </w:r>
    </w:p>
    <w:p w:rsidR="009C3EEA" w:rsidRDefault="009C3EEA">
      <w:pPr>
        <w:pStyle w:val="Bulletedlist"/>
        <w:numPr>
          <w:ilvl w:val="0"/>
          <w:numId w:val="0"/>
        </w:numPr>
        <w:ind w:left="340"/>
      </w:pPr>
    </w:p>
    <w:p w:rsidR="00A519CC" w:rsidRPr="008626DB" w:rsidRDefault="00A519CC" w:rsidP="008626DB">
      <w:pPr>
        <w:pStyle w:val="AHPRASubhead"/>
      </w:pPr>
      <w:r w:rsidRPr="008626DB">
        <w:t>Guidance issues on endorsements about scheduled medicines</w:t>
      </w:r>
    </w:p>
    <w:p w:rsidR="00A519CC" w:rsidRPr="00A519CC" w:rsidRDefault="00A519CC" w:rsidP="00A519CC">
      <w:pPr>
        <w:spacing w:before="216" w:after="216" w:line="216" w:lineRule="atLeast"/>
        <w:ind w:right="216"/>
        <w:rPr>
          <w:szCs w:val="20"/>
        </w:rPr>
      </w:pPr>
      <w:r w:rsidRPr="00A519CC">
        <w:rPr>
          <w:szCs w:val="20"/>
        </w:rPr>
        <w:t xml:space="preserve">The Australian Health Workforce Ministerial Council (Ministerial Council) has recently endorsed </w:t>
      </w:r>
      <w:r w:rsidRPr="00A519CC">
        <w:rPr>
          <w:i/>
          <w:iCs/>
          <w:szCs w:val="20"/>
        </w:rPr>
        <w:t>Guidance for National Boards: Applications to the Ministerial Council for approval of endorsements in relation to scheduled medicines under section 14 of the National Law</w:t>
      </w:r>
      <w:r w:rsidRPr="00A519CC">
        <w:rPr>
          <w:i/>
          <w:iCs/>
          <w:szCs w:val="20"/>
          <w:vertAlign w:val="superscript"/>
        </w:rPr>
        <w:t>1</w:t>
      </w:r>
      <w:r w:rsidR="008626DB">
        <w:rPr>
          <w:szCs w:val="20"/>
        </w:rPr>
        <w:t xml:space="preserve"> (the Guidance).</w:t>
      </w:r>
    </w:p>
    <w:p w:rsidR="00A519CC" w:rsidRDefault="00A519CC" w:rsidP="00A519CC">
      <w:pPr>
        <w:spacing w:before="216" w:after="216" w:line="216" w:lineRule="atLeast"/>
        <w:ind w:right="216"/>
        <w:rPr>
          <w:szCs w:val="20"/>
        </w:rPr>
      </w:pPr>
      <w:r w:rsidRPr="00A519CC">
        <w:rPr>
          <w:szCs w:val="20"/>
        </w:rPr>
        <w:t xml:space="preserve">The Guidance is designed to be used by National Boards when preparing applications to the Ministerial Council for approval of an endorsement for scheduled </w:t>
      </w:r>
      <w:r w:rsidR="008626DB">
        <w:rPr>
          <w:szCs w:val="20"/>
        </w:rPr>
        <w:t>medicines for their profession.</w:t>
      </w:r>
    </w:p>
    <w:p w:rsidR="008626DB" w:rsidRPr="00A519CC" w:rsidRDefault="008626DB" w:rsidP="00A519CC">
      <w:pPr>
        <w:spacing w:before="216" w:after="216" w:line="216" w:lineRule="atLeast"/>
        <w:ind w:right="216"/>
        <w:rPr>
          <w:szCs w:val="20"/>
        </w:rPr>
      </w:pPr>
      <w:r>
        <w:rPr>
          <w:szCs w:val="20"/>
        </w:rPr>
        <w:t xml:space="preserve">Read more on the </w:t>
      </w:r>
      <w:hyperlink r:id="rId10" w:history="1">
        <w:r w:rsidRPr="008626DB">
          <w:rPr>
            <w:rStyle w:val="Hyperlink"/>
            <w:szCs w:val="20"/>
          </w:rPr>
          <w:t>AHPRA website</w:t>
        </w:r>
      </w:hyperlink>
      <w:r>
        <w:rPr>
          <w:szCs w:val="20"/>
        </w:rPr>
        <w:t>.</w:t>
      </w:r>
    </w:p>
    <w:p w:rsidR="00984E15" w:rsidRPr="00984E15" w:rsidRDefault="00984E15" w:rsidP="004F7F60">
      <w:pPr>
        <w:pStyle w:val="AHPRASubhead"/>
        <w:spacing w:before="240" w:after="0"/>
      </w:pPr>
      <w:r w:rsidRPr="00984E15">
        <w:t>Keeping in touch with the Board</w:t>
      </w:r>
    </w:p>
    <w:p w:rsidR="00B169C7" w:rsidRDefault="00B169C7">
      <w:pPr>
        <w:pStyle w:val="AHPRABody0"/>
      </w:pPr>
    </w:p>
    <w:p w:rsidR="00312836" w:rsidRDefault="00984E15">
      <w:pPr>
        <w:pStyle w:val="AHPRABody0"/>
      </w:pPr>
      <w:r>
        <w:t xml:space="preserve">The Board publishes a range of information about registration and the Board’s expectations of practitioners on its website at </w:t>
      </w:r>
      <w:hyperlink r:id="rId11" w:history="1">
        <w:r w:rsidRPr="00660816">
          <w:rPr>
            <w:rStyle w:val="Hyperlink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E44095" w:rsidRDefault="00E44095" w:rsidP="0092054F">
      <w:pPr>
        <w:spacing w:before="0" w:after="0"/>
        <w:rPr>
          <w:szCs w:val="20"/>
          <w:lang w:val="en-US"/>
        </w:rPr>
      </w:pPr>
    </w:p>
    <w:p w:rsidR="00312836" w:rsidRDefault="00984E15">
      <w:pPr>
        <w:pStyle w:val="AHPRABody0"/>
        <w:rPr>
          <w:lang w:val="en-US"/>
        </w:rPr>
      </w:pPr>
      <w:r w:rsidRPr="00AE3701">
        <w:rPr>
          <w:lang w:val="en-US"/>
        </w:rPr>
        <w:t xml:space="preserve">Dr </w:t>
      </w:r>
      <w:r>
        <w:rPr>
          <w:lang w:val="en-US"/>
        </w:rPr>
        <w:t>Nikole Grbin (Osteopath)</w:t>
      </w:r>
    </w:p>
    <w:p w:rsidR="008626DB" w:rsidRDefault="00984E15" w:rsidP="0092054F">
      <w:pPr>
        <w:spacing w:before="0" w:after="0"/>
        <w:rPr>
          <w:color w:val="0070C0"/>
          <w:szCs w:val="20"/>
          <w:lang w:val="en-US"/>
        </w:rPr>
      </w:pPr>
      <w:r w:rsidRPr="007D493A">
        <w:rPr>
          <w:color w:val="0070C0"/>
          <w:szCs w:val="20"/>
          <w:lang w:val="en-US"/>
        </w:rPr>
        <w:t>Chair</w:t>
      </w:r>
    </w:p>
    <w:p w:rsidR="0092054F" w:rsidRDefault="002169EA" w:rsidP="0092054F">
      <w:pPr>
        <w:spacing w:before="0" w:after="0"/>
        <w:rPr>
          <w:color w:val="0070C0"/>
          <w:szCs w:val="20"/>
          <w:lang w:val="en-US"/>
        </w:rPr>
      </w:pPr>
      <w:r>
        <w:rPr>
          <w:color w:val="0070C0"/>
          <w:szCs w:val="20"/>
          <w:lang w:val="en-US"/>
        </w:rPr>
        <w:t>Osteopathy Board of Australia</w:t>
      </w:r>
    </w:p>
    <w:p w:rsidR="008626DB" w:rsidRPr="008626DB" w:rsidRDefault="008626DB" w:rsidP="0092054F">
      <w:pPr>
        <w:spacing w:before="0" w:after="0"/>
        <w:rPr>
          <w:color w:val="0070C0"/>
          <w:szCs w:val="20"/>
          <w:lang w:val="en-US"/>
        </w:rPr>
      </w:pPr>
    </w:p>
    <w:p w:rsidR="00312836" w:rsidRDefault="00A05C5C">
      <w:pPr>
        <w:pStyle w:val="AHPRABody0"/>
      </w:pPr>
      <w:r>
        <w:rPr>
          <w:lang w:val="en-US"/>
        </w:rPr>
        <w:t>19 December</w:t>
      </w:r>
      <w:r w:rsidR="000542EA">
        <w:rPr>
          <w:lang w:val="en-US"/>
        </w:rPr>
        <w:t xml:space="preserve"> 2016</w:t>
      </w:r>
    </w:p>
    <w:sectPr w:rsidR="00312836" w:rsidSect="004B438E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41" w:rsidRDefault="005F0741" w:rsidP="008A56B3">
      <w:r>
        <w:separator/>
      </w:r>
    </w:p>
    <w:p w:rsidR="005F0741" w:rsidRDefault="005F0741" w:rsidP="008A56B3"/>
  </w:endnote>
  <w:endnote w:type="continuationSeparator" w:id="0">
    <w:p w:rsidR="005F0741" w:rsidRDefault="005F0741" w:rsidP="008A56B3">
      <w:r>
        <w:continuationSeparator/>
      </w:r>
    </w:p>
    <w:p w:rsidR="005F0741" w:rsidRDefault="005F0741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41" w:rsidRDefault="00103B8C" w:rsidP="008A56B3">
    <w:pPr>
      <w:pStyle w:val="AHPRAfootnote"/>
    </w:pPr>
    <w:r>
      <w:fldChar w:fldCharType="begin"/>
    </w:r>
    <w:r w:rsidR="005F0741">
      <w:instrText xml:space="preserve">PAGE  </w:instrText>
    </w:r>
    <w:r>
      <w:fldChar w:fldCharType="end"/>
    </w:r>
  </w:p>
  <w:p w:rsidR="005F0741" w:rsidRDefault="005F0741" w:rsidP="008A56B3">
    <w:pPr>
      <w:pStyle w:val="AHPRAfootnote"/>
    </w:pPr>
  </w:p>
  <w:p w:rsidR="005F0741" w:rsidRDefault="005F0741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41" w:rsidRPr="000E7E28" w:rsidRDefault="007D10E6" w:rsidP="007840D7">
    <w:pPr>
      <w:pStyle w:val="AHPRApagenumber"/>
      <w:tabs>
        <w:tab w:val="center" w:pos="4536"/>
        <w:tab w:val="right" w:pos="9356"/>
      </w:tabs>
      <w:ind w:right="-233"/>
      <w:jc w:val="left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5F0741">
          <w:tab/>
        </w:r>
        <w:r w:rsidR="005F0741">
          <w:tab/>
        </w:r>
        <w:r w:rsidR="005F0741" w:rsidRPr="000E7E28">
          <w:t xml:space="preserve">Page </w:t>
        </w:r>
        <w:r w:rsidR="00103B8C">
          <w:fldChar w:fldCharType="begin"/>
        </w:r>
        <w:r w:rsidR="00DC3FB8">
          <w:instrText xml:space="preserve"> PAGE </w:instrText>
        </w:r>
        <w:r w:rsidR="00103B8C">
          <w:fldChar w:fldCharType="separate"/>
        </w:r>
        <w:r>
          <w:rPr>
            <w:noProof/>
          </w:rPr>
          <w:t>2</w:t>
        </w:r>
        <w:r w:rsidR="00103B8C">
          <w:rPr>
            <w:noProof/>
          </w:rPr>
          <w:fldChar w:fldCharType="end"/>
        </w:r>
        <w:r w:rsidR="005F0741" w:rsidRPr="000E7E28">
          <w:t xml:space="preserve"> of </w:t>
        </w:r>
        <w:r w:rsidR="00103B8C">
          <w:fldChar w:fldCharType="begin"/>
        </w:r>
        <w:r w:rsidR="00DC3FB8">
          <w:instrText xml:space="preserve"> NUMPAGES  </w:instrText>
        </w:r>
        <w:r w:rsidR="00103B8C">
          <w:fldChar w:fldCharType="separate"/>
        </w:r>
        <w:r>
          <w:rPr>
            <w:noProof/>
          </w:rPr>
          <w:t>2</w:t>
        </w:r>
        <w:r w:rsidR="00103B8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41" w:rsidRDefault="005F0741" w:rsidP="008A56B3">
      <w:r>
        <w:separator/>
      </w:r>
    </w:p>
  </w:footnote>
  <w:footnote w:type="continuationSeparator" w:id="0">
    <w:p w:rsidR="005F0741" w:rsidRDefault="005F0741" w:rsidP="008A56B3">
      <w:r>
        <w:continuationSeparator/>
      </w:r>
    </w:p>
    <w:p w:rsidR="005F0741" w:rsidRDefault="005F0741" w:rsidP="008A56B3"/>
  </w:footnote>
  <w:footnote w:type="continuationNotice" w:id="1">
    <w:p w:rsidR="005F0741" w:rsidRDefault="005F0741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41" w:rsidRPr="00315933" w:rsidRDefault="005F0741" w:rsidP="008A56B3"/>
  <w:p w:rsidR="005F0741" w:rsidRDefault="005F0741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41" w:rsidRDefault="005F0741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741" w:rsidRDefault="005F0741" w:rsidP="008A56B3"/>
  <w:p w:rsidR="005F0741" w:rsidRDefault="005F0741" w:rsidP="008A56B3"/>
  <w:p w:rsidR="005F0741" w:rsidRDefault="005F0741" w:rsidP="008A56B3"/>
  <w:p w:rsidR="005F0741" w:rsidRDefault="005F0741" w:rsidP="008A56B3"/>
  <w:p w:rsidR="005F0741" w:rsidRDefault="005F0741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AF51943"/>
    <w:multiLevelType w:val="hybridMultilevel"/>
    <w:tmpl w:val="A88C7008"/>
    <w:lvl w:ilvl="0" w:tplc="7B44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1860B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C9E37A3"/>
    <w:multiLevelType w:val="multilevel"/>
    <w:tmpl w:val="3FE6BF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E54EA"/>
    <w:multiLevelType w:val="multilevel"/>
    <w:tmpl w:val="C61EE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C1A67"/>
    <w:multiLevelType w:val="hybridMultilevel"/>
    <w:tmpl w:val="5182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1576"/>
    <w:multiLevelType w:val="hybridMultilevel"/>
    <w:tmpl w:val="4D6A62EC"/>
    <w:lvl w:ilvl="0" w:tplc="24E60E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6FBA"/>
    <w:multiLevelType w:val="hybridMultilevel"/>
    <w:tmpl w:val="1AFEEE5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F84105B"/>
    <w:multiLevelType w:val="hybridMultilevel"/>
    <w:tmpl w:val="98962E64"/>
    <w:lvl w:ilvl="0" w:tplc="0554E43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57753"/>
    <w:multiLevelType w:val="hybridMultilevel"/>
    <w:tmpl w:val="17BA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B3714"/>
    <w:multiLevelType w:val="multilevel"/>
    <w:tmpl w:val="C4183F12"/>
    <w:numStyleLink w:val="AHPRANumberedlist"/>
  </w:abstractNum>
  <w:abstractNum w:abstractNumId="14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3679C"/>
    <w:multiLevelType w:val="multilevel"/>
    <w:tmpl w:val="4476C3E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15"/>
    <w:rsid w:val="00000033"/>
    <w:rsid w:val="000064AF"/>
    <w:rsid w:val="00006922"/>
    <w:rsid w:val="000111B2"/>
    <w:rsid w:val="000220BD"/>
    <w:rsid w:val="00023904"/>
    <w:rsid w:val="000334D7"/>
    <w:rsid w:val="00052BF3"/>
    <w:rsid w:val="000542EA"/>
    <w:rsid w:val="00061983"/>
    <w:rsid w:val="00061A94"/>
    <w:rsid w:val="00071439"/>
    <w:rsid w:val="00071D70"/>
    <w:rsid w:val="00082158"/>
    <w:rsid w:val="00082456"/>
    <w:rsid w:val="000945FB"/>
    <w:rsid w:val="000A076C"/>
    <w:rsid w:val="000A1543"/>
    <w:rsid w:val="000A6BF7"/>
    <w:rsid w:val="000C45EB"/>
    <w:rsid w:val="000D12D1"/>
    <w:rsid w:val="000E00BF"/>
    <w:rsid w:val="000E29C2"/>
    <w:rsid w:val="000E486F"/>
    <w:rsid w:val="000E6D3A"/>
    <w:rsid w:val="000E7E28"/>
    <w:rsid w:val="000F5D90"/>
    <w:rsid w:val="000F71FB"/>
    <w:rsid w:val="001004CD"/>
    <w:rsid w:val="0010139F"/>
    <w:rsid w:val="00103B8C"/>
    <w:rsid w:val="00107F83"/>
    <w:rsid w:val="0011487C"/>
    <w:rsid w:val="00144DEF"/>
    <w:rsid w:val="00146F33"/>
    <w:rsid w:val="001506FE"/>
    <w:rsid w:val="00162C6D"/>
    <w:rsid w:val="00196F14"/>
    <w:rsid w:val="001C425C"/>
    <w:rsid w:val="001C5EAE"/>
    <w:rsid w:val="001D01AA"/>
    <w:rsid w:val="001E1E31"/>
    <w:rsid w:val="001E2849"/>
    <w:rsid w:val="001E4A94"/>
    <w:rsid w:val="001E5621"/>
    <w:rsid w:val="002040A7"/>
    <w:rsid w:val="002169EA"/>
    <w:rsid w:val="00220A3B"/>
    <w:rsid w:val="00224708"/>
    <w:rsid w:val="0022736D"/>
    <w:rsid w:val="00240D52"/>
    <w:rsid w:val="0028013F"/>
    <w:rsid w:val="0028496C"/>
    <w:rsid w:val="00294EC4"/>
    <w:rsid w:val="00295B44"/>
    <w:rsid w:val="002A45B4"/>
    <w:rsid w:val="002A6406"/>
    <w:rsid w:val="002B2D48"/>
    <w:rsid w:val="002C08FB"/>
    <w:rsid w:val="002C34EA"/>
    <w:rsid w:val="002D599C"/>
    <w:rsid w:val="002E1641"/>
    <w:rsid w:val="002F2ED3"/>
    <w:rsid w:val="00301BC0"/>
    <w:rsid w:val="00303BE1"/>
    <w:rsid w:val="00305AFC"/>
    <w:rsid w:val="00307035"/>
    <w:rsid w:val="00310295"/>
    <w:rsid w:val="00312836"/>
    <w:rsid w:val="003246FD"/>
    <w:rsid w:val="00330D33"/>
    <w:rsid w:val="00331F9B"/>
    <w:rsid w:val="003354E4"/>
    <w:rsid w:val="00336B22"/>
    <w:rsid w:val="00337717"/>
    <w:rsid w:val="00354C75"/>
    <w:rsid w:val="00361DE0"/>
    <w:rsid w:val="00393516"/>
    <w:rsid w:val="003A38E9"/>
    <w:rsid w:val="003A4E0E"/>
    <w:rsid w:val="003B5E14"/>
    <w:rsid w:val="003C2E37"/>
    <w:rsid w:val="003D0B3C"/>
    <w:rsid w:val="003D0CDC"/>
    <w:rsid w:val="003D6DBD"/>
    <w:rsid w:val="003E00B5"/>
    <w:rsid w:val="003E3268"/>
    <w:rsid w:val="003E6BB2"/>
    <w:rsid w:val="003F2F06"/>
    <w:rsid w:val="003F714C"/>
    <w:rsid w:val="00405C0A"/>
    <w:rsid w:val="00414AF0"/>
    <w:rsid w:val="00414F2C"/>
    <w:rsid w:val="00416F51"/>
    <w:rsid w:val="004240C4"/>
    <w:rsid w:val="00426DEC"/>
    <w:rsid w:val="00450B34"/>
    <w:rsid w:val="004606A7"/>
    <w:rsid w:val="00462F0F"/>
    <w:rsid w:val="004671AD"/>
    <w:rsid w:val="004A21F7"/>
    <w:rsid w:val="004A5E5D"/>
    <w:rsid w:val="004B438E"/>
    <w:rsid w:val="004B747B"/>
    <w:rsid w:val="004C63AF"/>
    <w:rsid w:val="004D596F"/>
    <w:rsid w:val="004D7537"/>
    <w:rsid w:val="004F5C05"/>
    <w:rsid w:val="004F6C12"/>
    <w:rsid w:val="004F7F60"/>
    <w:rsid w:val="005056B4"/>
    <w:rsid w:val="00516EF2"/>
    <w:rsid w:val="00520AD6"/>
    <w:rsid w:val="00530BFF"/>
    <w:rsid w:val="00535184"/>
    <w:rsid w:val="0053749F"/>
    <w:rsid w:val="00546B56"/>
    <w:rsid w:val="005518A4"/>
    <w:rsid w:val="00553A4C"/>
    <w:rsid w:val="00554335"/>
    <w:rsid w:val="005565CE"/>
    <w:rsid w:val="00565BBC"/>
    <w:rsid w:val="005708AE"/>
    <w:rsid w:val="00580A5B"/>
    <w:rsid w:val="005826C0"/>
    <w:rsid w:val="00586F30"/>
    <w:rsid w:val="00590E45"/>
    <w:rsid w:val="005A0FA9"/>
    <w:rsid w:val="005A507F"/>
    <w:rsid w:val="005C5932"/>
    <w:rsid w:val="005C6817"/>
    <w:rsid w:val="005D00FC"/>
    <w:rsid w:val="005D06D7"/>
    <w:rsid w:val="005E0245"/>
    <w:rsid w:val="005F0741"/>
    <w:rsid w:val="005F393C"/>
    <w:rsid w:val="005F3941"/>
    <w:rsid w:val="005F6786"/>
    <w:rsid w:val="00607681"/>
    <w:rsid w:val="00616043"/>
    <w:rsid w:val="00622247"/>
    <w:rsid w:val="00622692"/>
    <w:rsid w:val="00640B2C"/>
    <w:rsid w:val="0064226A"/>
    <w:rsid w:val="0065012C"/>
    <w:rsid w:val="00652069"/>
    <w:rsid w:val="006600F0"/>
    <w:rsid w:val="00663E87"/>
    <w:rsid w:val="00666B15"/>
    <w:rsid w:val="00667CAD"/>
    <w:rsid w:val="00670F48"/>
    <w:rsid w:val="00672A98"/>
    <w:rsid w:val="00681D5E"/>
    <w:rsid w:val="006870F9"/>
    <w:rsid w:val="006A0304"/>
    <w:rsid w:val="006A52C3"/>
    <w:rsid w:val="006C0257"/>
    <w:rsid w:val="006C0E29"/>
    <w:rsid w:val="006C6C13"/>
    <w:rsid w:val="006C786E"/>
    <w:rsid w:val="006D30FE"/>
    <w:rsid w:val="006D3757"/>
    <w:rsid w:val="006D45FD"/>
    <w:rsid w:val="006D6D35"/>
    <w:rsid w:val="006E19CD"/>
    <w:rsid w:val="006F262E"/>
    <w:rsid w:val="006F3204"/>
    <w:rsid w:val="006F585B"/>
    <w:rsid w:val="006F7348"/>
    <w:rsid w:val="006F796D"/>
    <w:rsid w:val="0070155F"/>
    <w:rsid w:val="0071188D"/>
    <w:rsid w:val="007372A4"/>
    <w:rsid w:val="00741B04"/>
    <w:rsid w:val="00743DD2"/>
    <w:rsid w:val="00750FCF"/>
    <w:rsid w:val="00756249"/>
    <w:rsid w:val="0075638C"/>
    <w:rsid w:val="0076115C"/>
    <w:rsid w:val="00766393"/>
    <w:rsid w:val="007664F3"/>
    <w:rsid w:val="007840D7"/>
    <w:rsid w:val="00786108"/>
    <w:rsid w:val="00787ABD"/>
    <w:rsid w:val="007907EC"/>
    <w:rsid w:val="007913C0"/>
    <w:rsid w:val="0079197C"/>
    <w:rsid w:val="007A35B9"/>
    <w:rsid w:val="007B77D6"/>
    <w:rsid w:val="007C0B6E"/>
    <w:rsid w:val="007D008B"/>
    <w:rsid w:val="007D10E6"/>
    <w:rsid w:val="007D4836"/>
    <w:rsid w:val="007E2331"/>
    <w:rsid w:val="007E2C84"/>
    <w:rsid w:val="007E3545"/>
    <w:rsid w:val="007F0095"/>
    <w:rsid w:val="007F61FC"/>
    <w:rsid w:val="00817334"/>
    <w:rsid w:val="00820D1A"/>
    <w:rsid w:val="008338F7"/>
    <w:rsid w:val="00836397"/>
    <w:rsid w:val="00836B19"/>
    <w:rsid w:val="00845054"/>
    <w:rsid w:val="00852D1C"/>
    <w:rsid w:val="00856147"/>
    <w:rsid w:val="00860F40"/>
    <w:rsid w:val="008615C9"/>
    <w:rsid w:val="008626DB"/>
    <w:rsid w:val="00864020"/>
    <w:rsid w:val="00864173"/>
    <w:rsid w:val="00873920"/>
    <w:rsid w:val="008805EB"/>
    <w:rsid w:val="008979D5"/>
    <w:rsid w:val="008A2A8D"/>
    <w:rsid w:val="008A4C3B"/>
    <w:rsid w:val="008A56B3"/>
    <w:rsid w:val="008B2AD7"/>
    <w:rsid w:val="008C5F92"/>
    <w:rsid w:val="008C6376"/>
    <w:rsid w:val="008D6B7E"/>
    <w:rsid w:val="008D7586"/>
    <w:rsid w:val="008D7845"/>
    <w:rsid w:val="008E79C8"/>
    <w:rsid w:val="008F0686"/>
    <w:rsid w:val="008F1838"/>
    <w:rsid w:val="008F5D89"/>
    <w:rsid w:val="008F7649"/>
    <w:rsid w:val="009031EA"/>
    <w:rsid w:val="009138F9"/>
    <w:rsid w:val="0092054F"/>
    <w:rsid w:val="00923B23"/>
    <w:rsid w:val="009255BD"/>
    <w:rsid w:val="00937ED0"/>
    <w:rsid w:val="00944DA7"/>
    <w:rsid w:val="00952797"/>
    <w:rsid w:val="009737ED"/>
    <w:rsid w:val="0097449E"/>
    <w:rsid w:val="009777D3"/>
    <w:rsid w:val="00984E15"/>
    <w:rsid w:val="009859E6"/>
    <w:rsid w:val="009A0A5D"/>
    <w:rsid w:val="009A7957"/>
    <w:rsid w:val="009C3EEA"/>
    <w:rsid w:val="009C6933"/>
    <w:rsid w:val="009C7445"/>
    <w:rsid w:val="009D0759"/>
    <w:rsid w:val="009E08DD"/>
    <w:rsid w:val="009E4D57"/>
    <w:rsid w:val="009F3F6B"/>
    <w:rsid w:val="009F7BC2"/>
    <w:rsid w:val="00A04C7A"/>
    <w:rsid w:val="00A058E5"/>
    <w:rsid w:val="00A05C5C"/>
    <w:rsid w:val="00A0699D"/>
    <w:rsid w:val="00A10C1A"/>
    <w:rsid w:val="00A10F51"/>
    <w:rsid w:val="00A2072E"/>
    <w:rsid w:val="00A237BB"/>
    <w:rsid w:val="00A41D89"/>
    <w:rsid w:val="00A44A9E"/>
    <w:rsid w:val="00A458ED"/>
    <w:rsid w:val="00A509AB"/>
    <w:rsid w:val="00A519CC"/>
    <w:rsid w:val="00A63991"/>
    <w:rsid w:val="00A6681D"/>
    <w:rsid w:val="00A76BFC"/>
    <w:rsid w:val="00A802C1"/>
    <w:rsid w:val="00A82078"/>
    <w:rsid w:val="00A838C8"/>
    <w:rsid w:val="00A86D88"/>
    <w:rsid w:val="00A91C42"/>
    <w:rsid w:val="00A91ED9"/>
    <w:rsid w:val="00A9516B"/>
    <w:rsid w:val="00A96861"/>
    <w:rsid w:val="00A9780A"/>
    <w:rsid w:val="00AA00AF"/>
    <w:rsid w:val="00AA2FC9"/>
    <w:rsid w:val="00AA5317"/>
    <w:rsid w:val="00AA63F1"/>
    <w:rsid w:val="00AB283D"/>
    <w:rsid w:val="00AB3A62"/>
    <w:rsid w:val="00AB41D8"/>
    <w:rsid w:val="00AC663C"/>
    <w:rsid w:val="00AC682E"/>
    <w:rsid w:val="00AD312E"/>
    <w:rsid w:val="00AD414B"/>
    <w:rsid w:val="00AE3EAF"/>
    <w:rsid w:val="00B024B0"/>
    <w:rsid w:val="00B104B9"/>
    <w:rsid w:val="00B14866"/>
    <w:rsid w:val="00B1527A"/>
    <w:rsid w:val="00B169C7"/>
    <w:rsid w:val="00B34EDA"/>
    <w:rsid w:val="00B35A87"/>
    <w:rsid w:val="00B465D2"/>
    <w:rsid w:val="00B50797"/>
    <w:rsid w:val="00B51241"/>
    <w:rsid w:val="00B51748"/>
    <w:rsid w:val="00B57198"/>
    <w:rsid w:val="00B85023"/>
    <w:rsid w:val="00BA1216"/>
    <w:rsid w:val="00BA2456"/>
    <w:rsid w:val="00BA469B"/>
    <w:rsid w:val="00BB4A5B"/>
    <w:rsid w:val="00BB7249"/>
    <w:rsid w:val="00BC1CBC"/>
    <w:rsid w:val="00BE238C"/>
    <w:rsid w:val="00BF2534"/>
    <w:rsid w:val="00BF2880"/>
    <w:rsid w:val="00BF79DC"/>
    <w:rsid w:val="00C0009B"/>
    <w:rsid w:val="00C00B73"/>
    <w:rsid w:val="00C019E3"/>
    <w:rsid w:val="00C2594A"/>
    <w:rsid w:val="00C35DE1"/>
    <w:rsid w:val="00C3795C"/>
    <w:rsid w:val="00C524AA"/>
    <w:rsid w:val="00C54689"/>
    <w:rsid w:val="00C7035B"/>
    <w:rsid w:val="00C81590"/>
    <w:rsid w:val="00C81B3A"/>
    <w:rsid w:val="00C84AE0"/>
    <w:rsid w:val="00C85A14"/>
    <w:rsid w:val="00C90915"/>
    <w:rsid w:val="00CB6C08"/>
    <w:rsid w:val="00CC6E74"/>
    <w:rsid w:val="00CD0DCA"/>
    <w:rsid w:val="00CE5855"/>
    <w:rsid w:val="00D00A9B"/>
    <w:rsid w:val="00D12F61"/>
    <w:rsid w:val="00D201C6"/>
    <w:rsid w:val="00D476D0"/>
    <w:rsid w:val="00D544E0"/>
    <w:rsid w:val="00D638E0"/>
    <w:rsid w:val="00D65016"/>
    <w:rsid w:val="00D716BA"/>
    <w:rsid w:val="00D720FF"/>
    <w:rsid w:val="00D83C90"/>
    <w:rsid w:val="00D8404D"/>
    <w:rsid w:val="00D8587E"/>
    <w:rsid w:val="00D87C12"/>
    <w:rsid w:val="00DB191A"/>
    <w:rsid w:val="00DC2952"/>
    <w:rsid w:val="00DC3FB8"/>
    <w:rsid w:val="00DF1AB7"/>
    <w:rsid w:val="00E0034B"/>
    <w:rsid w:val="00E034EB"/>
    <w:rsid w:val="00E07C02"/>
    <w:rsid w:val="00E10472"/>
    <w:rsid w:val="00E112BA"/>
    <w:rsid w:val="00E11540"/>
    <w:rsid w:val="00E12B06"/>
    <w:rsid w:val="00E15BF6"/>
    <w:rsid w:val="00E44095"/>
    <w:rsid w:val="00E4514A"/>
    <w:rsid w:val="00E54005"/>
    <w:rsid w:val="00E71CB9"/>
    <w:rsid w:val="00E73698"/>
    <w:rsid w:val="00E77E23"/>
    <w:rsid w:val="00E804D5"/>
    <w:rsid w:val="00E8251C"/>
    <w:rsid w:val="00E844A0"/>
    <w:rsid w:val="00E862B8"/>
    <w:rsid w:val="00EA248E"/>
    <w:rsid w:val="00EC1A17"/>
    <w:rsid w:val="00ED2159"/>
    <w:rsid w:val="00EE5945"/>
    <w:rsid w:val="00F13ED2"/>
    <w:rsid w:val="00F1585B"/>
    <w:rsid w:val="00F15E84"/>
    <w:rsid w:val="00F17D96"/>
    <w:rsid w:val="00F27ACB"/>
    <w:rsid w:val="00F3616F"/>
    <w:rsid w:val="00F40047"/>
    <w:rsid w:val="00F51506"/>
    <w:rsid w:val="00F54900"/>
    <w:rsid w:val="00F6418D"/>
    <w:rsid w:val="00F6618F"/>
    <w:rsid w:val="00F70DD5"/>
    <w:rsid w:val="00F73165"/>
    <w:rsid w:val="00F76B61"/>
    <w:rsid w:val="00F80A86"/>
    <w:rsid w:val="00F85C24"/>
    <w:rsid w:val="00F90BCE"/>
    <w:rsid w:val="00FC2881"/>
    <w:rsid w:val="00FC3B82"/>
    <w:rsid w:val="00FC44D5"/>
    <w:rsid w:val="00FD7DB5"/>
    <w:rsid w:val="00FD7D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88AA0237-6AAE-4133-AD80-460509BA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4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1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4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5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2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3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6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6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qFormat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7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6C6C13"/>
    <w:pPr>
      <w:spacing w:after="200"/>
    </w:pPr>
    <w:rPr>
      <w:rFonts w:eastAsia="Cambria" w:cs="Times New Roman"/>
      <w:bCs w:val="0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Education/Approved-Programs-of-Study.aspx?ns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eopathyboard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hpra.gov.au/News/2016-12-09-guidance-issues-on-endorsemen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eopathyboard.gov.au/About/Statistics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EAEB-1675-4C95-A44B-F6F5644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Osteopathy Board of Australia</vt:lpstr>
    </vt:vector>
  </TitlesOfParts>
  <Company>Johanna Villani Design</Company>
  <LinksUpToDate>false</LinksUpToDate>
  <CharactersWithSpaces>4158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Osteopathy Board of Australia - 15 December 2016</dc:title>
  <dc:subject>Communique</dc:subject>
  <dc:creator>Osteopathy Board</dc:creator>
  <cp:keywords>15 December 2016</cp:keywords>
  <cp:lastModifiedBy>Sheryl Kamath</cp:lastModifiedBy>
  <cp:revision>2</cp:revision>
  <cp:lastPrinted>2012-02-10T00:45:00Z</cp:lastPrinted>
  <dcterms:created xsi:type="dcterms:W3CDTF">2016-12-18T22:53:00Z</dcterms:created>
  <dcterms:modified xsi:type="dcterms:W3CDTF">2016-12-18T22:53:00Z</dcterms:modified>
</cp:coreProperties>
</file>