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p>
    <w:p w:rsidR="009138F9" w:rsidRDefault="00BB0EB5" w:rsidP="000E29C2">
      <w:pPr>
        <w:spacing w:line="360" w:lineRule="auto"/>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2.95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du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"/>
        </w:pict>
      </w:r>
    </w:p>
    <w:p w:rsidR="00622247" w:rsidRDefault="00092B0B" w:rsidP="00984E15">
      <w:pPr>
        <w:pStyle w:val="AHPRADocumentsubheading"/>
      </w:pPr>
      <w:r>
        <w:t>August</w:t>
      </w:r>
      <w:r w:rsidR="00C7035B">
        <w:t xml:space="preserve"> 201</w:t>
      </w:r>
      <w:r w:rsidR="003D685C">
        <w:t>6</w:t>
      </w:r>
      <w:r w:rsidR="00984E15" w:rsidRPr="00984E15">
        <w:t xml:space="preserve"> meeting of the Osteopathy Board of Australia</w:t>
      </w:r>
    </w:p>
    <w:p w:rsidR="00312836" w:rsidRPr="00092B0B" w:rsidRDefault="00984E15">
      <w:pPr>
        <w:pStyle w:val="AHPRABody0"/>
        <w:rPr>
          <w:color w:val="000000"/>
        </w:rPr>
      </w:pPr>
      <w:r>
        <w:rPr>
          <w:color w:val="000000"/>
        </w:rPr>
        <w:t xml:space="preserve">The </w:t>
      </w:r>
      <w:r w:rsidR="008A639E">
        <w:rPr>
          <w:color w:val="000000"/>
        </w:rPr>
        <w:t>8</w:t>
      </w:r>
      <w:r w:rsidR="00092B0B">
        <w:rPr>
          <w:color w:val="000000"/>
        </w:rPr>
        <w:t>2</w:t>
      </w:r>
      <w:r w:rsidR="00092B0B" w:rsidRPr="00092B0B">
        <w:rPr>
          <w:color w:val="000000"/>
          <w:vertAlign w:val="superscript"/>
        </w:rPr>
        <w:t>nd</w:t>
      </w:r>
      <w:r w:rsidR="007F61FC">
        <w:rPr>
          <w:color w:val="000000"/>
        </w:rPr>
        <w:t xml:space="preserve"> </w:t>
      </w:r>
      <w:r w:rsidRPr="00DF1D2B">
        <w:rPr>
          <w:color w:val="000000"/>
        </w:rPr>
        <w:t xml:space="preserve">meeting of the Osteopathy Board of Australia </w:t>
      </w:r>
      <w:r>
        <w:rPr>
          <w:color w:val="000000"/>
        </w:rPr>
        <w:t>(the Board) was</w:t>
      </w:r>
      <w:r w:rsidRPr="00DF1D2B">
        <w:rPr>
          <w:color w:val="000000"/>
        </w:rPr>
        <w:t xml:space="preserve"> held</w:t>
      </w:r>
      <w:r>
        <w:rPr>
          <w:color w:val="000000"/>
        </w:rPr>
        <w:t xml:space="preserve"> on</w:t>
      </w:r>
      <w:r w:rsidRPr="00EE5AB8">
        <w:rPr>
          <w:lang w:val="en-GB"/>
        </w:rPr>
        <w:t xml:space="preserve"> </w:t>
      </w:r>
      <w:r w:rsidR="00092B0B">
        <w:rPr>
          <w:lang w:val="en-GB"/>
        </w:rPr>
        <w:t>26 August</w:t>
      </w:r>
      <w:r w:rsidR="00956637">
        <w:rPr>
          <w:lang w:val="en-GB"/>
        </w:rPr>
        <w:t xml:space="preserve"> 2016</w:t>
      </w:r>
      <w:r>
        <w:rPr>
          <w:lang w:val="en-GB"/>
        </w:rPr>
        <w:t xml:space="preserve"> in </w:t>
      </w:r>
      <w:r w:rsidR="00A802C1">
        <w:rPr>
          <w:lang w:val="en-GB"/>
        </w:rPr>
        <w:t>Melbourne</w:t>
      </w:r>
      <w:r>
        <w:t>. The Board publishes</w:t>
      </w:r>
      <w:r w:rsidRPr="00F362BF">
        <w:t xml:space="preserve"> this communiqué on our website and email</w:t>
      </w:r>
      <w:r>
        <w:t>s</w:t>
      </w:r>
      <w:r w:rsidRPr="00F362BF">
        <w:t xml:space="preserve"> it to a broad range of stakeholders. </w:t>
      </w:r>
      <w:r w:rsidRPr="00D97E48">
        <w:t>At each meeting, the Board cons</w:t>
      </w:r>
      <w:bookmarkStart w:id="0" w:name="_GoBack"/>
      <w:bookmarkEnd w:id="0"/>
      <w:r w:rsidRPr="00D97E48">
        <w:t xml:space="preserve">iders a wide range of issues, many of which are routine and are </w:t>
      </w:r>
      <w:r>
        <w:t>not included in this communiqué</w:t>
      </w:r>
      <w:r w:rsidRPr="00F362BF">
        <w:t>.</w:t>
      </w:r>
      <w:r w:rsidR="00956637">
        <w:t xml:space="preserve"> </w:t>
      </w:r>
    </w:p>
    <w:p w:rsidR="00956637" w:rsidRDefault="00956637">
      <w:pPr>
        <w:pStyle w:val="AHPRABody0"/>
      </w:pPr>
    </w:p>
    <w:p w:rsidR="00B00724" w:rsidRDefault="00956637">
      <w:pPr>
        <w:pStyle w:val="AHPRABody0"/>
      </w:pPr>
      <w:r>
        <w:t xml:space="preserve">The whole Board meets as the Registration and Notification Committee (RNC) </w:t>
      </w:r>
      <w:r w:rsidR="00A5494C">
        <w:t>on the same day as the Board meetings</w:t>
      </w:r>
      <w:r>
        <w:t xml:space="preserve"> to consider registration and complaint</w:t>
      </w:r>
      <w:r w:rsidR="00DF7E14">
        <w:t xml:space="preserve"> (notification</w:t>
      </w:r>
      <w:r>
        <w:t xml:space="preserve"> matters.</w:t>
      </w:r>
    </w:p>
    <w:p w:rsidR="0047501C" w:rsidRDefault="0047501C">
      <w:pPr>
        <w:pStyle w:val="AHPRABody0"/>
      </w:pPr>
    </w:p>
    <w:p w:rsidR="0047501C" w:rsidRDefault="00092B0B">
      <w:pPr>
        <w:pStyle w:val="AHPRASubhead"/>
      </w:pPr>
      <w:r>
        <w:t>National Registration and Accreditation Scheme 2016 combined meeting</w:t>
      </w:r>
    </w:p>
    <w:p w:rsidR="00092B0B" w:rsidRDefault="00092B0B" w:rsidP="00092B0B">
      <w:pPr>
        <w:pStyle w:val="AHPRAbody"/>
      </w:pPr>
      <w:r>
        <w:t>The National Board meeting was held to coincide with the annual National R</w:t>
      </w:r>
      <w:r w:rsidRPr="00221475">
        <w:t>egistration a</w:t>
      </w:r>
      <w:r>
        <w:t xml:space="preserve">nd Accreditation Scheme combined </w:t>
      </w:r>
      <w:r w:rsidR="00DF7E14">
        <w:t>meeting where entities within the scheme got together to discuss the focus for the next 12 months.</w:t>
      </w:r>
    </w:p>
    <w:p w:rsidR="00092B0B" w:rsidRDefault="00B00724" w:rsidP="00B00724">
      <w:pPr>
        <w:pStyle w:val="AHPRABody0"/>
      </w:pPr>
      <w:r>
        <w:t xml:space="preserve">During the meeting, </w:t>
      </w:r>
      <w:r w:rsidR="00092B0B">
        <w:t>t</w:t>
      </w:r>
      <w:r w:rsidR="00092B0B" w:rsidRPr="00795DD2">
        <w:t xml:space="preserve">he Board </w:t>
      </w:r>
      <w:r w:rsidR="00092B0B">
        <w:t xml:space="preserve">took the opportunity to meet with </w:t>
      </w:r>
      <w:r w:rsidR="00092B0B" w:rsidRPr="00795DD2">
        <w:t xml:space="preserve">the Chair of the </w:t>
      </w:r>
      <w:r w:rsidR="00092B0B">
        <w:t xml:space="preserve">Australasian </w:t>
      </w:r>
      <w:r w:rsidR="00092B0B" w:rsidRPr="00795DD2">
        <w:t>Osteopathic</w:t>
      </w:r>
      <w:r w:rsidR="00092B0B">
        <w:t xml:space="preserve"> Accreditat</w:t>
      </w:r>
      <w:r w:rsidR="00A27A55">
        <w:t xml:space="preserve">ion Council </w:t>
      </w:r>
      <w:r w:rsidR="0002338B">
        <w:t xml:space="preserve">(AOAC) </w:t>
      </w:r>
      <w:r w:rsidR="00092B0B">
        <w:t>to discuss accreditation matters</w:t>
      </w:r>
      <w:r>
        <w:t>. The Board</w:t>
      </w:r>
      <w:r w:rsidR="00092B0B" w:rsidRPr="009A2E74">
        <w:t xml:space="preserve"> </w:t>
      </w:r>
      <w:r w:rsidR="0093128E">
        <w:t xml:space="preserve">also met with </w:t>
      </w:r>
      <w:r w:rsidR="00092B0B" w:rsidRPr="009A2E74">
        <w:t xml:space="preserve">the Chair and </w:t>
      </w:r>
      <w:r w:rsidR="00092B0B">
        <w:t>Registrar</w:t>
      </w:r>
      <w:r w:rsidR="00092B0B" w:rsidRPr="009A2E74">
        <w:t xml:space="preserve"> of the Osteopathic Council of New Zealand to discuss issues of mutual interest, including common regulatory functions</w:t>
      </w:r>
      <w:r w:rsidR="00092B0B">
        <w:t>,</w:t>
      </w:r>
      <w:r w:rsidR="00092B0B" w:rsidRPr="009A2E74">
        <w:t xml:space="preserve"> outcomes and pathways for overseas</w:t>
      </w:r>
      <w:r>
        <w:t>-</w:t>
      </w:r>
      <w:r w:rsidR="00092B0B" w:rsidRPr="009A2E74">
        <w:t xml:space="preserve">trained osteopaths. </w:t>
      </w:r>
    </w:p>
    <w:p w:rsidR="00B00724" w:rsidRPr="009A2E74" w:rsidRDefault="00B00724" w:rsidP="00B00724">
      <w:pPr>
        <w:pStyle w:val="AHPRABody0"/>
      </w:pPr>
    </w:p>
    <w:p w:rsidR="0047501C" w:rsidRDefault="00912A61" w:rsidP="0047501C">
      <w:pPr>
        <w:pStyle w:val="AHPRASubheading"/>
      </w:pPr>
      <w:r>
        <w:t>Health profession agreement</w:t>
      </w:r>
      <w:r w:rsidRPr="00A27FF1">
        <w:t xml:space="preserve"> </w:t>
      </w:r>
      <w:r>
        <w:t>and r</w:t>
      </w:r>
      <w:r w:rsidR="00C70395" w:rsidRPr="00A27FF1">
        <w:t xml:space="preserve">egistration fees </w:t>
      </w:r>
    </w:p>
    <w:p w:rsidR="00912A61" w:rsidRDefault="00912A61" w:rsidP="00912A61">
      <w:pPr>
        <w:widowControl w:val="0"/>
        <w:autoSpaceDE w:val="0"/>
        <w:autoSpaceDN w:val="0"/>
        <w:adjustRightInd w:val="0"/>
        <w:ind w:right="480"/>
        <w:rPr>
          <w:color w:val="000000"/>
          <w:szCs w:val="20"/>
        </w:rPr>
      </w:pPr>
      <w:r w:rsidRPr="00CD23B9">
        <w:t xml:space="preserve">The Board </w:t>
      </w:r>
      <w:r>
        <w:t xml:space="preserve">approved </w:t>
      </w:r>
      <w:r w:rsidRPr="00CD23B9">
        <w:t>the Health Profession Agreement (HPA)</w:t>
      </w:r>
      <w:r>
        <w:t xml:space="preserve"> </w:t>
      </w:r>
      <w:r w:rsidR="0093128E">
        <w:t>2016</w:t>
      </w:r>
      <w:r w:rsidR="00727561">
        <w:t xml:space="preserve">-2020 </w:t>
      </w:r>
      <w:r>
        <w:t>and</w:t>
      </w:r>
      <w:r w:rsidRPr="00CD23B9">
        <w:t xml:space="preserve"> </w:t>
      </w:r>
      <w:r>
        <w:t xml:space="preserve">will shortly </w:t>
      </w:r>
      <w:r w:rsidRPr="00CD23B9">
        <w:t>publish</w:t>
      </w:r>
      <w:r>
        <w:t xml:space="preserve"> it.</w:t>
      </w:r>
      <w:r w:rsidRPr="00CD23B9">
        <w:t xml:space="preserve"> </w:t>
      </w:r>
      <w:r w:rsidRPr="00082158">
        <w:rPr>
          <w:color w:val="000000"/>
          <w:szCs w:val="20"/>
        </w:rPr>
        <w:t xml:space="preserve">Under the National Law, the National Boards and </w:t>
      </w:r>
      <w:r w:rsidRPr="00CD23B9">
        <w:t>Australian Health Practitioner Regulation Agency (AHPRA)</w:t>
      </w:r>
      <w:r>
        <w:t xml:space="preserve"> </w:t>
      </w:r>
      <w:r w:rsidRPr="00082158">
        <w:rPr>
          <w:color w:val="000000"/>
          <w:szCs w:val="20"/>
        </w:rPr>
        <w:t>work in partnership to implement the National Registration and Accreditation Scheme (the National Scheme), each with specific roles and responsibilities.</w:t>
      </w:r>
      <w:r>
        <w:rPr>
          <w:color w:val="000000"/>
          <w:szCs w:val="20"/>
        </w:rPr>
        <w:t xml:space="preserve"> </w:t>
      </w:r>
      <w:r w:rsidRPr="00CD23B9">
        <w:t xml:space="preserve">The HPA </w:t>
      </w:r>
      <w:r>
        <w:t xml:space="preserve">provides information about the Board’s financial operations, </w:t>
      </w:r>
      <w:r w:rsidRPr="00CD23B9">
        <w:t xml:space="preserve">outlines the partnership between the Board and </w:t>
      </w:r>
      <w:r>
        <w:t>AHPRA</w:t>
      </w:r>
      <w:r w:rsidRPr="00CD23B9">
        <w:t xml:space="preserve">, the services AHPRA will provide to the Board to regulate </w:t>
      </w:r>
      <w:r>
        <w:t>the profession</w:t>
      </w:r>
      <w:r w:rsidR="00C32081">
        <w:t>,</w:t>
      </w:r>
      <w:r>
        <w:t xml:space="preserve"> </w:t>
      </w:r>
      <w:r w:rsidRPr="00CD23B9">
        <w:t>and</w:t>
      </w:r>
      <w:r>
        <w:t xml:space="preserve"> the </w:t>
      </w:r>
      <w:r w:rsidRPr="00082158">
        <w:rPr>
          <w:color w:val="000000"/>
          <w:szCs w:val="20"/>
        </w:rPr>
        <w:t>fees payable by health practitioners</w:t>
      </w:r>
      <w:r>
        <w:rPr>
          <w:color w:val="000000"/>
          <w:szCs w:val="20"/>
        </w:rPr>
        <w:t>.</w:t>
      </w:r>
    </w:p>
    <w:p w:rsidR="00C70395" w:rsidRPr="00C70395" w:rsidRDefault="00C70395" w:rsidP="00C70395">
      <w:pPr>
        <w:pStyle w:val="AHPRAbody"/>
      </w:pPr>
      <w:r w:rsidRPr="00E17DAC">
        <w:rPr>
          <w:rFonts w:cs="Arial"/>
          <w:color w:val="000000"/>
          <w:szCs w:val="20"/>
        </w:rPr>
        <w:t xml:space="preserve">The Board has </w:t>
      </w:r>
      <w:r w:rsidR="00912A61">
        <w:rPr>
          <w:rFonts w:cs="Arial"/>
          <w:color w:val="000000"/>
          <w:szCs w:val="20"/>
        </w:rPr>
        <w:t>approved</w:t>
      </w:r>
      <w:r w:rsidRPr="00E17DAC">
        <w:rPr>
          <w:rFonts w:cs="Arial"/>
          <w:color w:val="000000"/>
          <w:szCs w:val="20"/>
        </w:rPr>
        <w:t xml:space="preserve"> the </w:t>
      </w:r>
      <w:r>
        <w:rPr>
          <w:rFonts w:cs="Arial"/>
          <w:color w:val="000000"/>
          <w:szCs w:val="20"/>
        </w:rPr>
        <w:t xml:space="preserve">registration </w:t>
      </w:r>
      <w:r w:rsidRPr="00E17DAC">
        <w:rPr>
          <w:rFonts w:cs="Arial"/>
          <w:color w:val="000000"/>
          <w:szCs w:val="20"/>
        </w:rPr>
        <w:t>fees for osteopaths for 201</w:t>
      </w:r>
      <w:r>
        <w:rPr>
          <w:color w:val="000000"/>
          <w:szCs w:val="20"/>
        </w:rPr>
        <w:t>6</w:t>
      </w:r>
      <w:r w:rsidRPr="00E17DAC">
        <w:rPr>
          <w:rFonts w:cs="Arial"/>
          <w:color w:val="000000"/>
          <w:szCs w:val="20"/>
        </w:rPr>
        <w:t>/1</w:t>
      </w:r>
      <w:r>
        <w:rPr>
          <w:color w:val="000000"/>
          <w:szCs w:val="20"/>
        </w:rPr>
        <w:t>7</w:t>
      </w:r>
      <w:r w:rsidRPr="00E17DAC">
        <w:rPr>
          <w:rFonts w:cs="Arial"/>
          <w:color w:val="000000"/>
          <w:szCs w:val="20"/>
        </w:rPr>
        <w:t xml:space="preserve">. The Board is pleased to </w:t>
      </w:r>
      <w:r>
        <w:rPr>
          <w:rFonts w:cs="Arial"/>
          <w:color w:val="000000"/>
          <w:szCs w:val="20"/>
        </w:rPr>
        <w:t xml:space="preserve">reduce the registration fees by $10 </w:t>
      </w:r>
      <w:r>
        <w:t>to $376</w:t>
      </w:r>
      <w:r w:rsidRPr="00025A84">
        <w:t xml:space="preserve">. </w:t>
      </w:r>
      <w:r w:rsidRPr="0020186B">
        <w:t>The fee for practitioners whose principa</w:t>
      </w:r>
      <w:r>
        <w:t>l place of practice is NSW is $525</w:t>
      </w:r>
      <w:r w:rsidRPr="0020186B">
        <w:t>.</w:t>
      </w:r>
      <w:hyperlink r:id="rId8" w:anchor="_ftn1" w:history="1">
        <w:r w:rsidRPr="0020186B">
          <w:rPr>
            <w:rStyle w:val="FootnoteReference"/>
            <w:rFonts w:eastAsia="Times New Roman"/>
            <w:szCs w:val="20"/>
          </w:rPr>
          <w:footnoteReference w:id="2"/>
        </w:r>
      </w:hyperlink>
      <w:r>
        <w:t xml:space="preserve"> </w:t>
      </w:r>
      <w:r w:rsidRPr="00025A84">
        <w:t xml:space="preserve">The annual renewal fee will apply from </w:t>
      </w:r>
      <w:r>
        <w:t xml:space="preserve">1 September 2016 </w:t>
      </w:r>
      <w:r w:rsidRPr="00025A84">
        <w:t>and cover t</w:t>
      </w:r>
      <w:r>
        <w:t xml:space="preserve">he registration period for most </w:t>
      </w:r>
      <w:r w:rsidRPr="00025A84">
        <w:t xml:space="preserve">practitioners of </w:t>
      </w:r>
      <w:r>
        <w:t xml:space="preserve">1 December 2016 to </w:t>
      </w:r>
      <w:r w:rsidRPr="00D3257F">
        <w:t>30 November 2017</w:t>
      </w:r>
      <w:r>
        <w:t xml:space="preserve">. </w:t>
      </w:r>
      <w:r w:rsidRPr="0020186B">
        <w:t xml:space="preserve">A full fee schedule, including the fee arrangements for practitioners whose principal place of practice is NSW, </w:t>
      </w:r>
      <w:r w:rsidR="00091C9D">
        <w:t>is</w:t>
      </w:r>
      <w:r w:rsidRPr="0020186B">
        <w:t xml:space="preserve"> published on the Board’s </w:t>
      </w:r>
      <w:hyperlink r:id="rId9" w:history="1">
        <w:r w:rsidRPr="004B1246">
          <w:rPr>
            <w:rStyle w:val="Hyperlink"/>
          </w:rPr>
          <w:t>website</w:t>
        </w:r>
      </w:hyperlink>
      <w:r w:rsidRPr="0020186B">
        <w:t>.</w:t>
      </w:r>
    </w:p>
    <w:p w:rsidR="00DE1971" w:rsidRDefault="00092B0B" w:rsidP="00DE1971">
      <w:pPr>
        <w:pStyle w:val="Default"/>
        <w:rPr>
          <w:b/>
          <w:bCs/>
          <w:color w:val="008EC4"/>
          <w:sz w:val="20"/>
          <w:szCs w:val="20"/>
        </w:rPr>
      </w:pPr>
      <w:r>
        <w:rPr>
          <w:b/>
          <w:bCs/>
          <w:color w:val="008EC4"/>
          <w:sz w:val="20"/>
          <w:szCs w:val="20"/>
        </w:rPr>
        <w:t>Capabilities</w:t>
      </w:r>
      <w:r w:rsidR="00DE1971">
        <w:rPr>
          <w:b/>
          <w:bCs/>
          <w:color w:val="008EC4"/>
          <w:sz w:val="20"/>
          <w:szCs w:val="20"/>
        </w:rPr>
        <w:t xml:space="preserve"> for osteopath</w:t>
      </w:r>
      <w:r>
        <w:rPr>
          <w:b/>
          <w:bCs/>
          <w:color w:val="008EC4"/>
          <w:sz w:val="20"/>
          <w:szCs w:val="20"/>
        </w:rPr>
        <w:t>ic practice – period of consultation</w:t>
      </w:r>
      <w:r w:rsidR="0002338B">
        <w:rPr>
          <w:b/>
          <w:bCs/>
          <w:color w:val="008EC4"/>
          <w:sz w:val="20"/>
          <w:szCs w:val="20"/>
        </w:rPr>
        <w:t xml:space="preserve"> by Board</w:t>
      </w:r>
    </w:p>
    <w:p w:rsidR="00DE1971" w:rsidRDefault="00DE1971" w:rsidP="00DE1971">
      <w:pPr>
        <w:pStyle w:val="Default"/>
        <w:rPr>
          <w:b/>
          <w:bCs/>
          <w:color w:val="008EC4"/>
          <w:sz w:val="20"/>
          <w:szCs w:val="20"/>
        </w:rPr>
      </w:pPr>
    </w:p>
    <w:p w:rsidR="00C87FDF" w:rsidRDefault="00092B0B" w:rsidP="0002338B">
      <w:pPr>
        <w:pStyle w:val="AHPRAbody"/>
        <w:rPr>
          <w:szCs w:val="20"/>
        </w:rPr>
      </w:pPr>
      <w:r>
        <w:rPr>
          <w:szCs w:val="20"/>
        </w:rPr>
        <w:t>The</w:t>
      </w:r>
      <w:r w:rsidR="00DE1971">
        <w:rPr>
          <w:szCs w:val="20"/>
        </w:rPr>
        <w:t xml:space="preserve"> AOAC</w:t>
      </w:r>
      <w:r w:rsidR="00DE1971" w:rsidRPr="00092B0B">
        <w:rPr>
          <w:szCs w:val="20"/>
        </w:rPr>
        <w:t xml:space="preserve"> </w:t>
      </w:r>
      <w:r w:rsidR="0002338B">
        <w:rPr>
          <w:szCs w:val="20"/>
        </w:rPr>
        <w:t xml:space="preserve">has </w:t>
      </w:r>
      <w:r w:rsidR="00DE1971" w:rsidRPr="00092B0B">
        <w:rPr>
          <w:szCs w:val="20"/>
        </w:rPr>
        <w:t xml:space="preserve">completed </w:t>
      </w:r>
      <w:r>
        <w:rPr>
          <w:szCs w:val="20"/>
        </w:rPr>
        <w:t>a</w:t>
      </w:r>
      <w:r w:rsidR="00DE1971" w:rsidRPr="00092B0B">
        <w:rPr>
          <w:szCs w:val="20"/>
        </w:rPr>
        <w:t xml:space="preserve"> </w:t>
      </w:r>
      <w:r w:rsidR="0002338B">
        <w:rPr>
          <w:szCs w:val="20"/>
        </w:rPr>
        <w:t xml:space="preserve">project to conduct a </w:t>
      </w:r>
      <w:r w:rsidR="00DE1971" w:rsidRPr="00092B0B">
        <w:rPr>
          <w:szCs w:val="20"/>
        </w:rPr>
        <w:t>review of the</w:t>
      </w:r>
      <w:r w:rsidR="0002338B">
        <w:rPr>
          <w:szCs w:val="20"/>
        </w:rPr>
        <w:t xml:space="preserve"> Board’s</w:t>
      </w:r>
      <w:r w:rsidR="00DE1971" w:rsidRPr="00092B0B">
        <w:rPr>
          <w:szCs w:val="20"/>
        </w:rPr>
        <w:t xml:space="preserve"> </w:t>
      </w:r>
      <w:r>
        <w:rPr>
          <w:szCs w:val="20"/>
        </w:rPr>
        <w:t xml:space="preserve">current </w:t>
      </w:r>
      <w:hyperlink r:id="rId10" w:history="1">
        <w:r w:rsidR="0002338B" w:rsidRPr="0002338B">
          <w:rPr>
            <w:rStyle w:val="Hyperlink"/>
            <w:szCs w:val="20"/>
          </w:rPr>
          <w:t>C</w:t>
        </w:r>
        <w:r w:rsidRPr="0002338B">
          <w:rPr>
            <w:rStyle w:val="Hyperlink"/>
            <w:szCs w:val="20"/>
          </w:rPr>
          <w:t>apabilities for Osteopathic Practice</w:t>
        </w:r>
      </w:hyperlink>
      <w:r w:rsidR="0002338B">
        <w:rPr>
          <w:szCs w:val="20"/>
        </w:rPr>
        <w:t xml:space="preserve"> (2009)</w:t>
      </w:r>
      <w:r w:rsidR="00DE1971" w:rsidRPr="00092B0B">
        <w:rPr>
          <w:i/>
          <w:szCs w:val="20"/>
        </w:rPr>
        <w:t>.</w:t>
      </w:r>
      <w:r w:rsidR="00C7505B" w:rsidRPr="00092B0B">
        <w:rPr>
          <w:i/>
          <w:szCs w:val="20"/>
        </w:rPr>
        <w:t xml:space="preserve"> </w:t>
      </w:r>
      <w:r w:rsidR="00C7505B" w:rsidRPr="00092B0B">
        <w:rPr>
          <w:szCs w:val="20"/>
        </w:rPr>
        <w:t>The AOAC</w:t>
      </w:r>
      <w:r w:rsidR="00DE1971" w:rsidRPr="00092B0B">
        <w:rPr>
          <w:szCs w:val="20"/>
        </w:rPr>
        <w:t xml:space="preserve"> considered the feedback received from stakeholders during the</w:t>
      </w:r>
      <w:r w:rsidR="0002338B">
        <w:rPr>
          <w:szCs w:val="20"/>
        </w:rPr>
        <w:t>ir</w:t>
      </w:r>
      <w:r w:rsidR="00DE1971" w:rsidRPr="00092B0B">
        <w:rPr>
          <w:szCs w:val="20"/>
        </w:rPr>
        <w:t xml:space="preserve"> </w:t>
      </w:r>
      <w:r w:rsidR="0002338B">
        <w:rPr>
          <w:szCs w:val="20"/>
        </w:rPr>
        <w:t xml:space="preserve">periods of </w:t>
      </w:r>
      <w:r w:rsidR="00DE1971" w:rsidRPr="00092B0B">
        <w:rPr>
          <w:szCs w:val="20"/>
        </w:rPr>
        <w:t xml:space="preserve">consultation </w:t>
      </w:r>
      <w:r>
        <w:rPr>
          <w:szCs w:val="20"/>
        </w:rPr>
        <w:t xml:space="preserve">and provided a </w:t>
      </w:r>
      <w:r w:rsidR="0002338B">
        <w:rPr>
          <w:szCs w:val="20"/>
        </w:rPr>
        <w:t>draft proposed</w:t>
      </w:r>
      <w:r>
        <w:rPr>
          <w:szCs w:val="20"/>
        </w:rPr>
        <w:t xml:space="preserve"> </w:t>
      </w:r>
      <w:r w:rsidR="0002338B" w:rsidRPr="0002338B">
        <w:rPr>
          <w:i/>
          <w:szCs w:val="20"/>
        </w:rPr>
        <w:t>Capabilities for Osteopathic Practice</w:t>
      </w:r>
      <w:r w:rsidR="0002338B">
        <w:rPr>
          <w:szCs w:val="20"/>
        </w:rPr>
        <w:t xml:space="preserve"> </w:t>
      </w:r>
      <w:r>
        <w:rPr>
          <w:szCs w:val="20"/>
        </w:rPr>
        <w:t>document</w:t>
      </w:r>
      <w:r w:rsidR="00DE1971" w:rsidRPr="00092B0B">
        <w:rPr>
          <w:szCs w:val="20"/>
        </w:rPr>
        <w:t xml:space="preserve"> to the Board.</w:t>
      </w:r>
      <w:r w:rsidR="0002338B">
        <w:rPr>
          <w:szCs w:val="20"/>
        </w:rPr>
        <w:t xml:space="preserve"> </w:t>
      </w:r>
    </w:p>
    <w:p w:rsidR="005837B3" w:rsidRDefault="0002338B" w:rsidP="0002338B">
      <w:pPr>
        <w:pStyle w:val="AHPRAbody"/>
      </w:pPr>
      <w:r>
        <w:t xml:space="preserve">In the coming months the Board will conduct preliminary consultations with key stakeholders. Following the preliminary consultations the draft proposed </w:t>
      </w:r>
      <w:r w:rsidR="00C87FDF" w:rsidRPr="0002338B">
        <w:rPr>
          <w:i/>
          <w:szCs w:val="20"/>
        </w:rPr>
        <w:t>Capabilities for Osteopathic Practice</w:t>
      </w:r>
      <w:r w:rsidR="00C87FDF">
        <w:rPr>
          <w:szCs w:val="20"/>
        </w:rPr>
        <w:t xml:space="preserve"> document</w:t>
      </w:r>
      <w:r w:rsidR="00C87FDF" w:rsidRPr="00092B0B">
        <w:rPr>
          <w:szCs w:val="20"/>
        </w:rPr>
        <w:t xml:space="preserve"> </w:t>
      </w:r>
      <w:r>
        <w:t xml:space="preserve">will be released on </w:t>
      </w:r>
      <w:r w:rsidR="00C87FDF">
        <w:t>the Board’s</w:t>
      </w:r>
      <w:r w:rsidR="00091C9D">
        <w:t xml:space="preserve"> </w:t>
      </w:r>
      <w:r>
        <w:t>website for public consultations.</w:t>
      </w:r>
    </w:p>
    <w:p w:rsidR="005837B3" w:rsidRDefault="005837B3" w:rsidP="005837B3">
      <w:pPr>
        <w:pStyle w:val="AHPRASubhead"/>
      </w:pPr>
      <w:r>
        <w:lastRenderedPageBreak/>
        <w:t>National Boards and AHPRA host research summit</w:t>
      </w:r>
    </w:p>
    <w:p w:rsidR="005837B3" w:rsidRDefault="005837B3" w:rsidP="005837B3">
      <w:pPr>
        <w:pStyle w:val="AHPRABody0"/>
        <w:rPr>
          <w:lang w:val="en-US"/>
        </w:rPr>
      </w:pPr>
      <w:r>
        <w:rPr>
          <w:lang w:val="en-US"/>
        </w:rPr>
        <w:t>The 2016 Research Summit hosted by the 14 National Boards and AHPRA was attended by more than 220 delegates who gathered together to talk about the next frontier for developing our partnership’s evidence-base to improve the way we regulate.</w:t>
      </w:r>
    </w:p>
    <w:p w:rsidR="005837B3" w:rsidRDefault="005837B3" w:rsidP="005837B3">
      <w:pPr>
        <w:pStyle w:val="AHPRABody0"/>
        <w:rPr>
          <w:lang w:val="en-US"/>
        </w:rPr>
      </w:pPr>
    </w:p>
    <w:p w:rsidR="005837B3" w:rsidRDefault="005837B3" w:rsidP="005837B3">
      <w:pPr>
        <w:pStyle w:val="AHPRABody0"/>
        <w:rPr>
          <w:lang w:val="en-US"/>
        </w:rPr>
      </w:pPr>
      <w:r>
        <w:rPr>
          <w:lang w:val="en-US"/>
        </w:rPr>
        <w:t xml:space="preserve">The theme of the summit was </w:t>
      </w:r>
      <w:r>
        <w:rPr>
          <w:i/>
          <w:iCs/>
          <w:lang w:val="en-US"/>
        </w:rPr>
        <w:t>‘patient safety through risk-based regulation’</w:t>
      </w:r>
      <w:r>
        <w:rPr>
          <w:lang w:val="en-US"/>
        </w:rPr>
        <w:t xml:space="preserve">, and presenters discussed a range of topics. At the heart of the discussion was how to contribute to safer care for patients and health consumers. Also discussed was how data collection </w:t>
      </w:r>
      <w:r w:rsidR="00756117">
        <w:rPr>
          <w:lang w:val="en-US"/>
        </w:rPr>
        <w:t xml:space="preserve">and evaluation </w:t>
      </w:r>
      <w:r>
        <w:rPr>
          <w:lang w:val="en-US"/>
        </w:rPr>
        <w:t>can help find new and innovative ways to improve regulatory processes for health practitioners and the public.</w:t>
      </w:r>
    </w:p>
    <w:p w:rsidR="005837B3" w:rsidRDefault="005837B3" w:rsidP="005837B3">
      <w:pPr>
        <w:pStyle w:val="AHPRABody0"/>
        <w:rPr>
          <w:lang w:val="en-US"/>
        </w:rPr>
      </w:pPr>
    </w:p>
    <w:p w:rsidR="005837B3" w:rsidRDefault="005837B3" w:rsidP="005837B3">
      <w:pPr>
        <w:pStyle w:val="AHPRABody0"/>
        <w:rPr>
          <w:lang w:val="en-US"/>
        </w:rPr>
      </w:pPr>
      <w:r>
        <w:rPr>
          <w:lang w:val="en-US"/>
        </w:rPr>
        <w:t>The inaugural summit provided an opportunity for the exchange of expertise and ideas between regulatory staff, experts in safety and quality in healthcare, health practitioners and leading health and medical researchers.</w:t>
      </w:r>
    </w:p>
    <w:p w:rsidR="005837B3" w:rsidRDefault="005837B3" w:rsidP="005837B3">
      <w:pPr>
        <w:pStyle w:val="AHPRABody0"/>
        <w:rPr>
          <w:lang w:val="en-US"/>
        </w:rPr>
      </w:pPr>
    </w:p>
    <w:p w:rsidR="0047501C" w:rsidRDefault="005837B3">
      <w:pPr>
        <w:pStyle w:val="AHPRABody0"/>
      </w:pPr>
      <w:r>
        <w:rPr>
          <w:lang w:val="en-US"/>
        </w:rPr>
        <w:t xml:space="preserve">Read more in the </w:t>
      </w:r>
      <w:hyperlink r:id="rId11" w:history="1">
        <w:r>
          <w:rPr>
            <w:rStyle w:val="Hyperlink"/>
            <w:lang w:val="en-US"/>
          </w:rPr>
          <w:t>media release</w:t>
        </w:r>
      </w:hyperlink>
      <w:r>
        <w:rPr>
          <w:lang w:val="en-US"/>
        </w:rPr>
        <w:t xml:space="preserve"> about the summit which was held on 25 August. </w:t>
      </w:r>
    </w:p>
    <w:p w:rsidR="00984E15" w:rsidRPr="00984E15" w:rsidRDefault="00984E15" w:rsidP="004F7F60">
      <w:pPr>
        <w:pStyle w:val="AHPRASubhead"/>
        <w:spacing w:before="240" w:after="0"/>
      </w:pPr>
      <w:r w:rsidRPr="00984E15">
        <w:t>Keeping in touch with the Board</w:t>
      </w:r>
    </w:p>
    <w:p w:rsidR="00B169C7" w:rsidRDefault="00B169C7">
      <w:pPr>
        <w:pStyle w:val="AHPRABody0"/>
      </w:pPr>
    </w:p>
    <w:p w:rsidR="00312836" w:rsidRDefault="00984E15">
      <w:pPr>
        <w:pStyle w:val="AHPRABody0"/>
      </w:pPr>
      <w:r>
        <w:t xml:space="preserve">The Board publishes a range of information about registration and the Board’s expectations of practitioners on its website at </w:t>
      </w:r>
      <w:hyperlink r:id="rId12"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2F2ED3" w:rsidRDefault="002F2ED3" w:rsidP="0092054F">
      <w:pPr>
        <w:spacing w:before="0" w:after="0"/>
        <w:rPr>
          <w:szCs w:val="20"/>
          <w:lang w:val="en-US"/>
        </w:rPr>
      </w:pPr>
    </w:p>
    <w:p w:rsidR="004B1246" w:rsidRDefault="004B1246" w:rsidP="0092054F">
      <w:pPr>
        <w:spacing w:before="0" w:after="0"/>
        <w:rPr>
          <w:szCs w:val="20"/>
          <w:lang w:val="en-US"/>
        </w:rPr>
      </w:pPr>
    </w:p>
    <w:p w:rsidR="004B1246" w:rsidRDefault="004B1246" w:rsidP="0092054F">
      <w:pPr>
        <w:spacing w:before="0" w:after="0"/>
        <w:rPr>
          <w:szCs w:val="20"/>
          <w:lang w:val="en-US"/>
        </w:rPr>
      </w:pPr>
    </w:p>
    <w:p w:rsidR="00312836" w:rsidRDefault="00984E15">
      <w:pPr>
        <w:pStyle w:val="AHPRABody0"/>
        <w:rPr>
          <w:lang w:val="en-US"/>
        </w:rPr>
      </w:pPr>
      <w:r w:rsidRPr="00AE3701">
        <w:rPr>
          <w:lang w:val="en-US"/>
        </w:rPr>
        <w:t xml:space="preserve">Dr </w:t>
      </w:r>
      <w:r>
        <w:rPr>
          <w:lang w:val="en-US"/>
        </w:rPr>
        <w:t>Nikole Grbin (Osteopath)</w:t>
      </w:r>
    </w:p>
    <w:p w:rsidR="003B5E14" w:rsidRDefault="00984E15" w:rsidP="0092054F">
      <w:pPr>
        <w:spacing w:before="0" w:after="0"/>
        <w:rPr>
          <w:color w:val="0070C0"/>
          <w:szCs w:val="20"/>
          <w:lang w:val="en-US"/>
        </w:rPr>
      </w:pPr>
      <w:r w:rsidRPr="007D493A">
        <w:rPr>
          <w:color w:val="0070C0"/>
          <w:szCs w:val="20"/>
          <w:lang w:val="en-US"/>
        </w:rPr>
        <w:t>Chair</w:t>
      </w:r>
    </w:p>
    <w:p w:rsidR="0092054F" w:rsidRDefault="002169EA" w:rsidP="0092054F">
      <w:pPr>
        <w:spacing w:before="0" w:after="0"/>
        <w:rPr>
          <w:szCs w:val="20"/>
          <w:lang w:val="en-US"/>
        </w:rPr>
      </w:pPr>
      <w:r>
        <w:rPr>
          <w:color w:val="0070C0"/>
          <w:szCs w:val="20"/>
          <w:lang w:val="en-US"/>
        </w:rPr>
        <w:t>Osteopathy Board of Australia</w:t>
      </w:r>
      <w:r w:rsidR="00984E15">
        <w:rPr>
          <w:color w:val="0070C0"/>
          <w:szCs w:val="20"/>
          <w:lang w:val="en-US"/>
        </w:rPr>
        <w:br/>
      </w:r>
    </w:p>
    <w:p w:rsidR="00312836" w:rsidRDefault="00A31EBB">
      <w:pPr>
        <w:pStyle w:val="AHPRABody0"/>
      </w:pPr>
      <w:r>
        <w:rPr>
          <w:lang w:val="en-US"/>
        </w:rPr>
        <w:t xml:space="preserve">2 </w:t>
      </w:r>
      <w:r w:rsidR="0002338B">
        <w:rPr>
          <w:lang w:val="en-US"/>
        </w:rPr>
        <w:t>September</w:t>
      </w:r>
      <w:r w:rsidR="000542EA">
        <w:rPr>
          <w:lang w:val="en-US"/>
        </w:rPr>
        <w:t xml:space="preserve"> 2016</w:t>
      </w:r>
    </w:p>
    <w:sectPr w:rsidR="00312836" w:rsidSect="004B438E">
      <w:headerReference w:type="default" r:id="rId13"/>
      <w:footerReference w:type="even" r:id="rId14"/>
      <w:footerReference w:type="default" r:id="rId15"/>
      <w:head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1C" w:rsidRDefault="0047501C" w:rsidP="008A56B3">
      <w:r>
        <w:separator/>
      </w:r>
    </w:p>
    <w:p w:rsidR="0047501C" w:rsidRDefault="0047501C" w:rsidP="008A56B3"/>
  </w:endnote>
  <w:endnote w:type="continuationSeparator" w:id="0">
    <w:p w:rsidR="0047501C" w:rsidRDefault="0047501C" w:rsidP="008A56B3">
      <w:r>
        <w:continuationSeparator/>
      </w:r>
    </w:p>
    <w:p w:rsidR="0047501C" w:rsidRDefault="0047501C"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1C" w:rsidRDefault="0047501C" w:rsidP="008A56B3">
    <w:pPr>
      <w:pStyle w:val="AHPRAfootnote"/>
    </w:pPr>
    <w:r>
      <w:fldChar w:fldCharType="begin"/>
    </w:r>
    <w:r>
      <w:instrText xml:space="preserve">PAGE  </w:instrText>
    </w:r>
    <w:r>
      <w:fldChar w:fldCharType="end"/>
    </w:r>
  </w:p>
  <w:p w:rsidR="0047501C" w:rsidRDefault="0047501C" w:rsidP="008A56B3">
    <w:pPr>
      <w:pStyle w:val="AHPRAfootnote"/>
    </w:pPr>
  </w:p>
  <w:p w:rsidR="0047501C" w:rsidRDefault="0047501C"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1C" w:rsidRPr="000E7E28" w:rsidRDefault="00BB0EB5"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47501C">
          <w:tab/>
        </w:r>
        <w:r w:rsidR="0047501C">
          <w:tab/>
        </w:r>
        <w:r w:rsidR="0047501C" w:rsidRPr="000E7E28">
          <w:t xml:space="preserve">Page </w:t>
        </w:r>
        <w:r>
          <w:fldChar w:fldCharType="begin"/>
        </w:r>
        <w:r>
          <w:instrText xml:space="preserve"> PAGE </w:instrText>
        </w:r>
        <w:r>
          <w:fldChar w:fldCharType="separate"/>
        </w:r>
        <w:r>
          <w:rPr>
            <w:noProof/>
          </w:rPr>
          <w:t>2</w:t>
        </w:r>
        <w:r>
          <w:rPr>
            <w:noProof/>
          </w:rPr>
          <w:fldChar w:fldCharType="end"/>
        </w:r>
        <w:r w:rsidR="0047501C"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1C" w:rsidRDefault="0047501C" w:rsidP="008A56B3">
      <w:r>
        <w:separator/>
      </w:r>
    </w:p>
  </w:footnote>
  <w:footnote w:type="continuationSeparator" w:id="0">
    <w:p w:rsidR="0047501C" w:rsidRDefault="0047501C" w:rsidP="008A56B3">
      <w:r>
        <w:continuationSeparator/>
      </w:r>
    </w:p>
    <w:p w:rsidR="0047501C" w:rsidRDefault="0047501C" w:rsidP="008A56B3"/>
  </w:footnote>
  <w:footnote w:type="continuationNotice" w:id="1">
    <w:p w:rsidR="0047501C" w:rsidRDefault="0047501C" w:rsidP="008A56B3"/>
  </w:footnote>
  <w:footnote w:id="2">
    <w:p w:rsidR="0047501C" w:rsidRPr="00EA1D85" w:rsidRDefault="0047501C" w:rsidP="00C70395">
      <w:pPr>
        <w:pStyle w:val="FootnoteText"/>
      </w:pPr>
      <w:r>
        <w:rPr>
          <w:rStyle w:val="FootnoteReference"/>
        </w:rPr>
        <w:footnoteRef/>
      </w:r>
      <w:r w:rsidRPr="000956CD">
        <w:t xml:space="preserve"> </w:t>
      </w:r>
      <w:r w:rsidRPr="00EA1D85">
        <w:t xml:space="preserve">NSW is a </w:t>
      </w:r>
      <w:hyperlink r:id="rId1" w:history="1">
        <w:r w:rsidRPr="00CD23B9">
          <w:rPr>
            <w:rStyle w:val="Hyperlink"/>
          </w:rPr>
          <w:t>co-regulatory jurisdiction</w:t>
        </w:r>
      </w:hyperlink>
      <w:r w:rsidRPr="00EA1D8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1C" w:rsidRPr="00315933" w:rsidRDefault="0047501C" w:rsidP="008A56B3"/>
  <w:p w:rsidR="0047501C" w:rsidRDefault="0047501C"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1C" w:rsidRDefault="0047501C"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47501C" w:rsidRDefault="0047501C" w:rsidP="008A56B3"/>
  <w:p w:rsidR="0047501C" w:rsidRDefault="0047501C" w:rsidP="008A56B3"/>
  <w:p w:rsidR="0047501C" w:rsidRDefault="0047501C" w:rsidP="008A56B3"/>
  <w:p w:rsidR="0047501C" w:rsidRDefault="0047501C" w:rsidP="008A56B3"/>
  <w:p w:rsidR="0047501C" w:rsidRDefault="0047501C"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17313"/>
    <w:multiLevelType w:val="hybridMultilevel"/>
    <w:tmpl w:val="F6C2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3"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A7C81"/>
    <w:multiLevelType w:val="multilevel"/>
    <w:tmpl w:val="7980C96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D3B3714"/>
    <w:multiLevelType w:val="multilevel"/>
    <w:tmpl w:val="C4183F12"/>
    <w:numStyleLink w:val="AHPRANumberedlist"/>
  </w:abstractNum>
  <w:abstractNum w:abstractNumId="17" w15:restartNumberingAfterBreak="0">
    <w:nsid w:val="414C52D6"/>
    <w:multiLevelType w:val="hybridMultilevel"/>
    <w:tmpl w:val="3404D95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81EE3"/>
    <w:multiLevelType w:val="hybridMultilevel"/>
    <w:tmpl w:val="313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7C731660"/>
    <w:multiLevelType w:val="multilevel"/>
    <w:tmpl w:val="C4183F12"/>
    <w:numStyleLink w:val="AHPRANumberedlist"/>
  </w:abstractNum>
  <w:abstractNum w:abstractNumId="23" w15:restartNumberingAfterBreak="0">
    <w:nsid w:val="7E776C70"/>
    <w:multiLevelType w:val="hybridMultilevel"/>
    <w:tmpl w:val="BAE0D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5"/>
  </w:num>
  <w:num w:numId="5">
    <w:abstractNumId w:val="16"/>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9"/>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3"/>
  </w:num>
  <w:num w:numId="14">
    <w:abstractNumId w:val="11"/>
  </w:num>
  <w:num w:numId="15">
    <w:abstractNumId w:val="10"/>
  </w:num>
  <w:num w:numId="16">
    <w:abstractNumId w:val="12"/>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5F28"/>
    <w:rsid w:val="000064AF"/>
    <w:rsid w:val="00006922"/>
    <w:rsid w:val="000111B2"/>
    <w:rsid w:val="000220BD"/>
    <w:rsid w:val="0002338B"/>
    <w:rsid w:val="00023904"/>
    <w:rsid w:val="000307A9"/>
    <w:rsid w:val="000334D7"/>
    <w:rsid w:val="00052BF3"/>
    <w:rsid w:val="000542EA"/>
    <w:rsid w:val="00061983"/>
    <w:rsid w:val="00061A94"/>
    <w:rsid w:val="00067D1E"/>
    <w:rsid w:val="00071439"/>
    <w:rsid w:val="00071D70"/>
    <w:rsid w:val="00082158"/>
    <w:rsid w:val="00082456"/>
    <w:rsid w:val="00091C9D"/>
    <w:rsid w:val="00092B0B"/>
    <w:rsid w:val="00092E52"/>
    <w:rsid w:val="000945FB"/>
    <w:rsid w:val="000A076C"/>
    <w:rsid w:val="000A1543"/>
    <w:rsid w:val="000A6BF7"/>
    <w:rsid w:val="000C45EB"/>
    <w:rsid w:val="000D12D1"/>
    <w:rsid w:val="000E00BF"/>
    <w:rsid w:val="000E29C2"/>
    <w:rsid w:val="000E486F"/>
    <w:rsid w:val="000E5EEF"/>
    <w:rsid w:val="000E6D3A"/>
    <w:rsid w:val="000E7E28"/>
    <w:rsid w:val="000F5D90"/>
    <w:rsid w:val="000F71FB"/>
    <w:rsid w:val="001004CD"/>
    <w:rsid w:val="0010139F"/>
    <w:rsid w:val="00107F83"/>
    <w:rsid w:val="0011487C"/>
    <w:rsid w:val="00131CE1"/>
    <w:rsid w:val="00136D16"/>
    <w:rsid w:val="00144DEF"/>
    <w:rsid w:val="00146F33"/>
    <w:rsid w:val="001506FE"/>
    <w:rsid w:val="00162C6D"/>
    <w:rsid w:val="00196F14"/>
    <w:rsid w:val="001C425C"/>
    <w:rsid w:val="001C5EAE"/>
    <w:rsid w:val="001D01AA"/>
    <w:rsid w:val="001E1E31"/>
    <w:rsid w:val="001E2849"/>
    <w:rsid w:val="001E4A94"/>
    <w:rsid w:val="001E5621"/>
    <w:rsid w:val="002040A7"/>
    <w:rsid w:val="002169EA"/>
    <w:rsid w:val="00220A3B"/>
    <w:rsid w:val="00224708"/>
    <w:rsid w:val="0022736D"/>
    <w:rsid w:val="0022769E"/>
    <w:rsid w:val="00236A1F"/>
    <w:rsid w:val="00240D52"/>
    <w:rsid w:val="00260EDF"/>
    <w:rsid w:val="00270394"/>
    <w:rsid w:val="0028013F"/>
    <w:rsid w:val="0028496C"/>
    <w:rsid w:val="00294EC4"/>
    <w:rsid w:val="00295B44"/>
    <w:rsid w:val="002A45B4"/>
    <w:rsid w:val="002A6406"/>
    <w:rsid w:val="002B2D48"/>
    <w:rsid w:val="002C01C5"/>
    <w:rsid w:val="002C08FB"/>
    <w:rsid w:val="002C27AE"/>
    <w:rsid w:val="002C34EA"/>
    <w:rsid w:val="002D0798"/>
    <w:rsid w:val="002D599C"/>
    <w:rsid w:val="002E1641"/>
    <w:rsid w:val="002F0FD7"/>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1579"/>
    <w:rsid w:val="00361DE0"/>
    <w:rsid w:val="00373A35"/>
    <w:rsid w:val="003833D5"/>
    <w:rsid w:val="00390068"/>
    <w:rsid w:val="00393516"/>
    <w:rsid w:val="003977D4"/>
    <w:rsid w:val="003A38E9"/>
    <w:rsid w:val="003A4E0E"/>
    <w:rsid w:val="003B5E14"/>
    <w:rsid w:val="003C2E37"/>
    <w:rsid w:val="003D0B3C"/>
    <w:rsid w:val="003D0CDC"/>
    <w:rsid w:val="003D685C"/>
    <w:rsid w:val="003D6DBD"/>
    <w:rsid w:val="003E00B5"/>
    <w:rsid w:val="003E3268"/>
    <w:rsid w:val="003E6BB2"/>
    <w:rsid w:val="003F2F06"/>
    <w:rsid w:val="003F488F"/>
    <w:rsid w:val="003F714C"/>
    <w:rsid w:val="00405C0A"/>
    <w:rsid w:val="004069C8"/>
    <w:rsid w:val="0041096D"/>
    <w:rsid w:val="00414AF0"/>
    <w:rsid w:val="00414F2C"/>
    <w:rsid w:val="00416F51"/>
    <w:rsid w:val="004240C4"/>
    <w:rsid w:val="00426DEC"/>
    <w:rsid w:val="00427CC4"/>
    <w:rsid w:val="00450B34"/>
    <w:rsid w:val="004606A7"/>
    <w:rsid w:val="004616BE"/>
    <w:rsid w:val="00462F0F"/>
    <w:rsid w:val="004671AD"/>
    <w:rsid w:val="0047501C"/>
    <w:rsid w:val="00483DD1"/>
    <w:rsid w:val="004851D1"/>
    <w:rsid w:val="00487EF8"/>
    <w:rsid w:val="00491065"/>
    <w:rsid w:val="004A21F7"/>
    <w:rsid w:val="004A5E5D"/>
    <w:rsid w:val="004B1246"/>
    <w:rsid w:val="004B438E"/>
    <w:rsid w:val="004B747B"/>
    <w:rsid w:val="004C63AF"/>
    <w:rsid w:val="004C6E64"/>
    <w:rsid w:val="004D596F"/>
    <w:rsid w:val="004D7537"/>
    <w:rsid w:val="004F5C05"/>
    <w:rsid w:val="004F6C12"/>
    <w:rsid w:val="004F7F60"/>
    <w:rsid w:val="005056B4"/>
    <w:rsid w:val="00510EA8"/>
    <w:rsid w:val="00516EF2"/>
    <w:rsid w:val="00520AD6"/>
    <w:rsid w:val="00530BFF"/>
    <w:rsid w:val="00535184"/>
    <w:rsid w:val="0053749F"/>
    <w:rsid w:val="00541A2A"/>
    <w:rsid w:val="00546B56"/>
    <w:rsid w:val="005518A4"/>
    <w:rsid w:val="00551FD9"/>
    <w:rsid w:val="00553A4C"/>
    <w:rsid w:val="00554335"/>
    <w:rsid w:val="005565CE"/>
    <w:rsid w:val="00565BBC"/>
    <w:rsid w:val="005708AE"/>
    <w:rsid w:val="00580A5B"/>
    <w:rsid w:val="005826C0"/>
    <w:rsid w:val="005837B3"/>
    <w:rsid w:val="00586F30"/>
    <w:rsid w:val="005A0FA9"/>
    <w:rsid w:val="005A507F"/>
    <w:rsid w:val="005A72A2"/>
    <w:rsid w:val="005B04F4"/>
    <w:rsid w:val="005B07E8"/>
    <w:rsid w:val="005C5932"/>
    <w:rsid w:val="005C6817"/>
    <w:rsid w:val="005D00FC"/>
    <w:rsid w:val="005D06D7"/>
    <w:rsid w:val="005D6959"/>
    <w:rsid w:val="005E0245"/>
    <w:rsid w:val="005F0741"/>
    <w:rsid w:val="005F393C"/>
    <w:rsid w:val="005F3941"/>
    <w:rsid w:val="005F6786"/>
    <w:rsid w:val="00607681"/>
    <w:rsid w:val="00616043"/>
    <w:rsid w:val="0061793F"/>
    <w:rsid w:val="00620B28"/>
    <w:rsid w:val="00622247"/>
    <w:rsid w:val="00622692"/>
    <w:rsid w:val="00640B2C"/>
    <w:rsid w:val="0064226A"/>
    <w:rsid w:val="0064404F"/>
    <w:rsid w:val="0065012C"/>
    <w:rsid w:val="00652069"/>
    <w:rsid w:val="006600F0"/>
    <w:rsid w:val="00663E87"/>
    <w:rsid w:val="00666B15"/>
    <w:rsid w:val="00667CAD"/>
    <w:rsid w:val="00670F48"/>
    <w:rsid w:val="00672A98"/>
    <w:rsid w:val="00681D5E"/>
    <w:rsid w:val="006870F9"/>
    <w:rsid w:val="006A0304"/>
    <w:rsid w:val="006A52C3"/>
    <w:rsid w:val="006B0F5E"/>
    <w:rsid w:val="006C0257"/>
    <w:rsid w:val="006C0E29"/>
    <w:rsid w:val="006C6C13"/>
    <w:rsid w:val="006C786E"/>
    <w:rsid w:val="006D1066"/>
    <w:rsid w:val="006D30FE"/>
    <w:rsid w:val="006D3757"/>
    <w:rsid w:val="006D45FD"/>
    <w:rsid w:val="006D6D35"/>
    <w:rsid w:val="006E19CD"/>
    <w:rsid w:val="006E6BBC"/>
    <w:rsid w:val="006F262E"/>
    <w:rsid w:val="006F3204"/>
    <w:rsid w:val="006F585B"/>
    <w:rsid w:val="006F7348"/>
    <w:rsid w:val="006F796D"/>
    <w:rsid w:val="0070155F"/>
    <w:rsid w:val="00727561"/>
    <w:rsid w:val="007372A4"/>
    <w:rsid w:val="00741B04"/>
    <w:rsid w:val="00743DD2"/>
    <w:rsid w:val="00756117"/>
    <w:rsid w:val="00756249"/>
    <w:rsid w:val="0075638C"/>
    <w:rsid w:val="0076115C"/>
    <w:rsid w:val="00766393"/>
    <w:rsid w:val="007664F3"/>
    <w:rsid w:val="0077524F"/>
    <w:rsid w:val="00782D44"/>
    <w:rsid w:val="007840D7"/>
    <w:rsid w:val="00786108"/>
    <w:rsid w:val="007907EC"/>
    <w:rsid w:val="0079197C"/>
    <w:rsid w:val="007A35B9"/>
    <w:rsid w:val="007A4B2B"/>
    <w:rsid w:val="007B77D6"/>
    <w:rsid w:val="007C0B6E"/>
    <w:rsid w:val="007D4836"/>
    <w:rsid w:val="007E2331"/>
    <w:rsid w:val="007E2C84"/>
    <w:rsid w:val="007E3545"/>
    <w:rsid w:val="007F0095"/>
    <w:rsid w:val="007F61FC"/>
    <w:rsid w:val="00820D1A"/>
    <w:rsid w:val="008338F7"/>
    <w:rsid w:val="00836397"/>
    <w:rsid w:val="00845054"/>
    <w:rsid w:val="00852D1C"/>
    <w:rsid w:val="00855E05"/>
    <w:rsid w:val="00856147"/>
    <w:rsid w:val="00860F40"/>
    <w:rsid w:val="008615C9"/>
    <w:rsid w:val="00864020"/>
    <w:rsid w:val="00864173"/>
    <w:rsid w:val="00871C0C"/>
    <w:rsid w:val="00873920"/>
    <w:rsid w:val="008979D5"/>
    <w:rsid w:val="008A2A8D"/>
    <w:rsid w:val="008A4C3B"/>
    <w:rsid w:val="008A56B3"/>
    <w:rsid w:val="008A639E"/>
    <w:rsid w:val="008B096E"/>
    <w:rsid w:val="008B2AD7"/>
    <w:rsid w:val="008C5F92"/>
    <w:rsid w:val="008C6376"/>
    <w:rsid w:val="008C7BE2"/>
    <w:rsid w:val="008D6B7E"/>
    <w:rsid w:val="008D7586"/>
    <w:rsid w:val="008D7845"/>
    <w:rsid w:val="008E79C8"/>
    <w:rsid w:val="008F0686"/>
    <w:rsid w:val="008F142B"/>
    <w:rsid w:val="008F1838"/>
    <w:rsid w:val="008F5D89"/>
    <w:rsid w:val="008F7649"/>
    <w:rsid w:val="009031EA"/>
    <w:rsid w:val="00912A61"/>
    <w:rsid w:val="009138F9"/>
    <w:rsid w:val="0092054F"/>
    <w:rsid w:val="00923B23"/>
    <w:rsid w:val="009255BD"/>
    <w:rsid w:val="0093128E"/>
    <w:rsid w:val="00937ED0"/>
    <w:rsid w:val="00944DA7"/>
    <w:rsid w:val="00952797"/>
    <w:rsid w:val="00956637"/>
    <w:rsid w:val="00967E2F"/>
    <w:rsid w:val="009737ED"/>
    <w:rsid w:val="0097449E"/>
    <w:rsid w:val="009777D3"/>
    <w:rsid w:val="00984E15"/>
    <w:rsid w:val="009859E6"/>
    <w:rsid w:val="00990952"/>
    <w:rsid w:val="0099797D"/>
    <w:rsid w:val="009A0A5D"/>
    <w:rsid w:val="009A7957"/>
    <w:rsid w:val="009C3EEA"/>
    <w:rsid w:val="009C6933"/>
    <w:rsid w:val="009C7445"/>
    <w:rsid w:val="009D0759"/>
    <w:rsid w:val="009E08DD"/>
    <w:rsid w:val="009E4D57"/>
    <w:rsid w:val="009F3F6B"/>
    <w:rsid w:val="009F7BC2"/>
    <w:rsid w:val="00A04C7A"/>
    <w:rsid w:val="00A058E5"/>
    <w:rsid w:val="00A0699D"/>
    <w:rsid w:val="00A10C1A"/>
    <w:rsid w:val="00A10F51"/>
    <w:rsid w:val="00A13A8C"/>
    <w:rsid w:val="00A2072E"/>
    <w:rsid w:val="00A224D8"/>
    <w:rsid w:val="00A237BB"/>
    <w:rsid w:val="00A27A55"/>
    <w:rsid w:val="00A31EBB"/>
    <w:rsid w:val="00A34EA3"/>
    <w:rsid w:val="00A41D89"/>
    <w:rsid w:val="00A44A9E"/>
    <w:rsid w:val="00A458ED"/>
    <w:rsid w:val="00A479D2"/>
    <w:rsid w:val="00A509AB"/>
    <w:rsid w:val="00A5494C"/>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3F1"/>
    <w:rsid w:val="00AB01D6"/>
    <w:rsid w:val="00AB283D"/>
    <w:rsid w:val="00AB3A62"/>
    <w:rsid w:val="00AB41D8"/>
    <w:rsid w:val="00AC663C"/>
    <w:rsid w:val="00AC682E"/>
    <w:rsid w:val="00AC7A17"/>
    <w:rsid w:val="00AD312E"/>
    <w:rsid w:val="00AE3EAF"/>
    <w:rsid w:val="00AF54F8"/>
    <w:rsid w:val="00B00724"/>
    <w:rsid w:val="00B024B0"/>
    <w:rsid w:val="00B104B9"/>
    <w:rsid w:val="00B10A8A"/>
    <w:rsid w:val="00B14866"/>
    <w:rsid w:val="00B1527A"/>
    <w:rsid w:val="00B169C7"/>
    <w:rsid w:val="00B34EDA"/>
    <w:rsid w:val="00B35A39"/>
    <w:rsid w:val="00B35A87"/>
    <w:rsid w:val="00B465D2"/>
    <w:rsid w:val="00B50797"/>
    <w:rsid w:val="00B51241"/>
    <w:rsid w:val="00B51748"/>
    <w:rsid w:val="00B57198"/>
    <w:rsid w:val="00B66781"/>
    <w:rsid w:val="00B67B97"/>
    <w:rsid w:val="00B72A8B"/>
    <w:rsid w:val="00B85023"/>
    <w:rsid w:val="00BA1216"/>
    <w:rsid w:val="00BA2456"/>
    <w:rsid w:val="00BA469B"/>
    <w:rsid w:val="00BB0EB5"/>
    <w:rsid w:val="00BB4A5B"/>
    <w:rsid w:val="00BB7249"/>
    <w:rsid w:val="00BC1CBC"/>
    <w:rsid w:val="00BE48FD"/>
    <w:rsid w:val="00BF2534"/>
    <w:rsid w:val="00BF2880"/>
    <w:rsid w:val="00BF79DC"/>
    <w:rsid w:val="00C0009B"/>
    <w:rsid w:val="00C00B73"/>
    <w:rsid w:val="00C019E3"/>
    <w:rsid w:val="00C05728"/>
    <w:rsid w:val="00C2594A"/>
    <w:rsid w:val="00C32081"/>
    <w:rsid w:val="00C35DE1"/>
    <w:rsid w:val="00C3795C"/>
    <w:rsid w:val="00C524AA"/>
    <w:rsid w:val="00C528C4"/>
    <w:rsid w:val="00C54689"/>
    <w:rsid w:val="00C7035B"/>
    <w:rsid w:val="00C70395"/>
    <w:rsid w:val="00C7505B"/>
    <w:rsid w:val="00C81590"/>
    <w:rsid w:val="00C81B3A"/>
    <w:rsid w:val="00C84AE0"/>
    <w:rsid w:val="00C85A14"/>
    <w:rsid w:val="00C87FDF"/>
    <w:rsid w:val="00C90915"/>
    <w:rsid w:val="00C9339C"/>
    <w:rsid w:val="00CA3F84"/>
    <w:rsid w:val="00CB05D2"/>
    <w:rsid w:val="00CB2B3D"/>
    <w:rsid w:val="00CB6C08"/>
    <w:rsid w:val="00CC6E74"/>
    <w:rsid w:val="00CD0DCA"/>
    <w:rsid w:val="00CE5855"/>
    <w:rsid w:val="00CF4E52"/>
    <w:rsid w:val="00D00118"/>
    <w:rsid w:val="00D00A9B"/>
    <w:rsid w:val="00D12F61"/>
    <w:rsid w:val="00D201C6"/>
    <w:rsid w:val="00D24784"/>
    <w:rsid w:val="00D34A5F"/>
    <w:rsid w:val="00D476D0"/>
    <w:rsid w:val="00D544E0"/>
    <w:rsid w:val="00D638E0"/>
    <w:rsid w:val="00D65016"/>
    <w:rsid w:val="00D716BA"/>
    <w:rsid w:val="00D720FF"/>
    <w:rsid w:val="00D73E3F"/>
    <w:rsid w:val="00D82C00"/>
    <w:rsid w:val="00D83C90"/>
    <w:rsid w:val="00D8404D"/>
    <w:rsid w:val="00D8587E"/>
    <w:rsid w:val="00D87C12"/>
    <w:rsid w:val="00D94382"/>
    <w:rsid w:val="00DB05EB"/>
    <w:rsid w:val="00DB191A"/>
    <w:rsid w:val="00DC2952"/>
    <w:rsid w:val="00DC3FB8"/>
    <w:rsid w:val="00DE1971"/>
    <w:rsid w:val="00DF1AB7"/>
    <w:rsid w:val="00DF5A3F"/>
    <w:rsid w:val="00DF7E14"/>
    <w:rsid w:val="00E0034B"/>
    <w:rsid w:val="00E00832"/>
    <w:rsid w:val="00E034EB"/>
    <w:rsid w:val="00E07C02"/>
    <w:rsid w:val="00E10472"/>
    <w:rsid w:val="00E11540"/>
    <w:rsid w:val="00E12B06"/>
    <w:rsid w:val="00E15BF6"/>
    <w:rsid w:val="00E355B1"/>
    <w:rsid w:val="00E426DD"/>
    <w:rsid w:val="00E44095"/>
    <w:rsid w:val="00E4514A"/>
    <w:rsid w:val="00E513E6"/>
    <w:rsid w:val="00E54005"/>
    <w:rsid w:val="00E71CB9"/>
    <w:rsid w:val="00E73698"/>
    <w:rsid w:val="00E75E13"/>
    <w:rsid w:val="00E77E23"/>
    <w:rsid w:val="00E8251C"/>
    <w:rsid w:val="00E844A0"/>
    <w:rsid w:val="00E862B8"/>
    <w:rsid w:val="00EA248E"/>
    <w:rsid w:val="00EA5BF6"/>
    <w:rsid w:val="00EB3AD3"/>
    <w:rsid w:val="00EB7634"/>
    <w:rsid w:val="00EC1A17"/>
    <w:rsid w:val="00ED2159"/>
    <w:rsid w:val="00EE4C51"/>
    <w:rsid w:val="00EE509E"/>
    <w:rsid w:val="00EE5945"/>
    <w:rsid w:val="00EE5C45"/>
    <w:rsid w:val="00EE7032"/>
    <w:rsid w:val="00F01E44"/>
    <w:rsid w:val="00F11A12"/>
    <w:rsid w:val="00F13ED2"/>
    <w:rsid w:val="00F15E84"/>
    <w:rsid w:val="00F17D96"/>
    <w:rsid w:val="00F27ACB"/>
    <w:rsid w:val="00F3616F"/>
    <w:rsid w:val="00F40047"/>
    <w:rsid w:val="00F51506"/>
    <w:rsid w:val="00F54900"/>
    <w:rsid w:val="00F6418D"/>
    <w:rsid w:val="00F6618F"/>
    <w:rsid w:val="00F70DD5"/>
    <w:rsid w:val="00F73165"/>
    <w:rsid w:val="00F74396"/>
    <w:rsid w:val="00F76B61"/>
    <w:rsid w:val="00F806BB"/>
    <w:rsid w:val="00F80A86"/>
    <w:rsid w:val="00F85C24"/>
    <w:rsid w:val="00F90BCE"/>
    <w:rsid w:val="00F90C3D"/>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95335181-3270-41FF-A264-E203F3D1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nhideWhenUsed/>
    <w:rsid w:val="00E73698"/>
    <w:rPr>
      <w:szCs w:val="20"/>
    </w:rPr>
  </w:style>
  <w:style w:type="character" w:customStyle="1" w:styleId="FootnoteTextChar">
    <w:name w:val="Footnote Text Char"/>
    <w:basedOn w:val="DefaultParagraphFont"/>
    <w:link w:val="FootnoteText"/>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nhideWhenUsed/>
    <w:rsid w:val="00652069"/>
    <w:rPr>
      <w:sz w:val="18"/>
      <w:szCs w:val="18"/>
    </w:rPr>
  </w:style>
  <w:style w:type="paragraph" w:styleId="CommentText">
    <w:name w:val="annotation text"/>
    <w:basedOn w:val="Normal"/>
    <w:link w:val="CommentTextChar"/>
    <w:unhideWhenUsed/>
    <w:rsid w:val="00652069"/>
    <w:rPr>
      <w:rFonts w:eastAsiaTheme="minorEastAsia" w:cstheme="minorBidi"/>
      <w:lang w:val="en-US"/>
    </w:rPr>
  </w:style>
  <w:style w:type="character" w:customStyle="1" w:styleId="CommentTextChar">
    <w:name w:val="Comment Text Char"/>
    <w:basedOn w:val="DefaultParagraphFont"/>
    <w:link w:val="CommentText"/>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 w:type="paragraph" w:styleId="PlainText">
    <w:name w:val="Plain Text"/>
    <w:basedOn w:val="Normal"/>
    <w:link w:val="PlainTextChar"/>
    <w:uiPriority w:val="99"/>
    <w:semiHidden/>
    <w:unhideWhenUsed/>
    <w:rsid w:val="00AB01D6"/>
    <w:pPr>
      <w:spacing w:before="0" w:after="0"/>
    </w:pPr>
    <w:rPr>
      <w:rFonts w:eastAsiaTheme="minorHAnsi"/>
      <w:szCs w:val="20"/>
      <w:lang w:val="en-US"/>
    </w:rPr>
  </w:style>
  <w:style w:type="character" w:customStyle="1" w:styleId="PlainTextChar">
    <w:name w:val="Plain Text Char"/>
    <w:basedOn w:val="DefaultParagraphFont"/>
    <w:link w:val="PlainText"/>
    <w:uiPriority w:val="99"/>
    <w:semiHidden/>
    <w:rsid w:val="00AB01D6"/>
    <w:rPr>
      <w:rFonts w:eastAsiaTheme="minorHAnsi" w:cs="Arial"/>
    </w:rPr>
  </w:style>
  <w:style w:type="paragraph" w:customStyle="1" w:styleId="AHPRANumberedlistlevel2">
    <w:name w:val="AHPRA Numbered list level 2"/>
    <w:basedOn w:val="AHPRANumberedlistlevel1"/>
    <w:rsid w:val="00DE1971"/>
    <w:pPr>
      <w:numPr>
        <w:ilvl w:val="1"/>
      </w:numPr>
    </w:pPr>
  </w:style>
  <w:style w:type="paragraph" w:customStyle="1" w:styleId="AHPRANumberedlistlevel1">
    <w:name w:val="AHPRA Numbered list level 1"/>
    <w:basedOn w:val="AHPRABulletlevel1"/>
    <w:qFormat/>
    <w:rsid w:val="00DE1971"/>
    <w:pPr>
      <w:numPr>
        <w:numId w:val="23"/>
      </w:numPr>
    </w:pPr>
  </w:style>
  <w:style w:type="paragraph" w:customStyle="1" w:styleId="AHPRANumberedlistlevel3">
    <w:name w:val="AHPRA Numbered list level 3"/>
    <w:basedOn w:val="AHPRANumberedlistlevel1"/>
    <w:rsid w:val="00DE197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48873463">
      <w:bodyDiv w:val="1"/>
      <w:marLeft w:val="0"/>
      <w:marRight w:val="0"/>
      <w:marTop w:val="0"/>
      <w:marBottom w:val="0"/>
      <w:divBdr>
        <w:top w:val="none" w:sz="0" w:space="0" w:color="auto"/>
        <w:left w:val="none" w:sz="0" w:space="0" w:color="auto"/>
        <w:bottom w:val="none" w:sz="0" w:space="0" w:color="auto"/>
        <w:right w:val="none" w:sz="0" w:space="0" w:color="auto"/>
      </w:divBdr>
    </w:div>
    <w:div w:id="726953289">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48464964">
      <w:bodyDiv w:val="1"/>
      <w:marLeft w:val="0"/>
      <w:marRight w:val="0"/>
      <w:marTop w:val="0"/>
      <w:marBottom w:val="0"/>
      <w:divBdr>
        <w:top w:val="none" w:sz="0" w:space="0" w:color="auto"/>
        <w:left w:val="none" w:sz="0" w:space="0" w:color="auto"/>
        <w:bottom w:val="none" w:sz="0" w:space="0" w:color="auto"/>
        <w:right w:val="none" w:sz="0" w:space="0" w:color="auto"/>
      </w:divBdr>
      <w:divsChild>
        <w:div w:id="263341542">
          <w:marLeft w:val="0"/>
          <w:marRight w:val="0"/>
          <w:marTop w:val="0"/>
          <w:marBottom w:val="0"/>
          <w:divBdr>
            <w:top w:val="none" w:sz="0" w:space="0" w:color="auto"/>
            <w:left w:val="none" w:sz="0" w:space="0" w:color="auto"/>
            <w:bottom w:val="none" w:sz="0" w:space="0" w:color="auto"/>
            <w:right w:val="none" w:sz="0" w:space="0" w:color="auto"/>
          </w:divBdr>
          <w:divsChild>
            <w:div w:id="1133869175">
              <w:marLeft w:val="0"/>
              <w:marRight w:val="0"/>
              <w:marTop w:val="0"/>
              <w:marBottom w:val="0"/>
              <w:divBdr>
                <w:top w:val="none" w:sz="0" w:space="0" w:color="auto"/>
                <w:left w:val="none" w:sz="0" w:space="0" w:color="auto"/>
                <w:bottom w:val="none" w:sz="0" w:space="0" w:color="auto"/>
                <w:right w:val="none" w:sz="0" w:space="0" w:color="auto"/>
              </w:divBdr>
              <w:divsChild>
                <w:div w:id="519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9341">
      <w:bodyDiv w:val="1"/>
      <w:marLeft w:val="0"/>
      <w:marRight w:val="0"/>
      <w:marTop w:val="0"/>
      <w:marBottom w:val="0"/>
      <w:divBdr>
        <w:top w:val="none" w:sz="0" w:space="0" w:color="auto"/>
        <w:left w:val="none" w:sz="0" w:space="0" w:color="auto"/>
        <w:bottom w:val="none" w:sz="0" w:space="0" w:color="auto"/>
        <w:right w:val="none" w:sz="0" w:space="0" w:color="auto"/>
      </w:divBdr>
    </w:div>
    <w:div w:id="1268194073">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99851">
      <w:bodyDiv w:val="1"/>
      <w:marLeft w:val="0"/>
      <w:marRight w:val="0"/>
      <w:marTop w:val="0"/>
      <w:marBottom w:val="0"/>
      <w:divBdr>
        <w:top w:val="none" w:sz="0" w:space="0" w:color="auto"/>
        <w:left w:val="none" w:sz="0" w:space="0" w:color="auto"/>
        <w:bottom w:val="none" w:sz="0" w:space="0" w:color="auto"/>
        <w:right w:val="none" w:sz="0" w:space="0" w:color="auto"/>
      </w:divBdr>
    </w:div>
    <w:div w:id="1429500183">
      <w:bodyDiv w:val="1"/>
      <w:marLeft w:val="0"/>
      <w:marRight w:val="0"/>
      <w:marTop w:val="0"/>
      <w:marBottom w:val="0"/>
      <w:divBdr>
        <w:top w:val="none" w:sz="0" w:space="0" w:color="auto"/>
        <w:left w:val="none" w:sz="0" w:space="0" w:color="auto"/>
        <w:bottom w:val="none" w:sz="0" w:space="0" w:color="auto"/>
        <w:right w:val="none" w:sz="0" w:space="0" w:color="auto"/>
      </w:divBdr>
      <w:divsChild>
        <w:div w:id="1099789646">
          <w:marLeft w:val="0"/>
          <w:marRight w:val="0"/>
          <w:marTop w:val="0"/>
          <w:marBottom w:val="0"/>
          <w:divBdr>
            <w:top w:val="none" w:sz="0" w:space="0" w:color="auto"/>
            <w:left w:val="none" w:sz="0" w:space="0" w:color="auto"/>
            <w:bottom w:val="none" w:sz="0" w:space="0" w:color="auto"/>
            <w:right w:val="none" w:sz="0" w:space="0" w:color="auto"/>
          </w:divBdr>
          <w:divsChild>
            <w:div w:id="1839425134">
              <w:marLeft w:val="0"/>
              <w:marRight w:val="0"/>
              <w:marTop w:val="0"/>
              <w:marBottom w:val="0"/>
              <w:divBdr>
                <w:top w:val="none" w:sz="0" w:space="0" w:color="auto"/>
                <w:left w:val="none" w:sz="0" w:space="0" w:color="auto"/>
                <w:bottom w:val="none" w:sz="0" w:space="0" w:color="auto"/>
                <w:right w:val="none" w:sz="0" w:space="0" w:color="auto"/>
              </w:divBdr>
              <w:divsChild>
                <w:div w:id="672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sChild>
        <w:div w:id="91971767">
          <w:marLeft w:val="0"/>
          <w:marRight w:val="0"/>
          <w:marTop w:val="0"/>
          <w:marBottom w:val="0"/>
          <w:divBdr>
            <w:top w:val="none" w:sz="0" w:space="0" w:color="auto"/>
            <w:left w:val="none" w:sz="0" w:space="0" w:color="auto"/>
            <w:bottom w:val="none" w:sz="0" w:space="0" w:color="auto"/>
            <w:right w:val="none" w:sz="0" w:space="0" w:color="auto"/>
          </w:divBdr>
          <w:divsChild>
            <w:div w:id="1000545429">
              <w:marLeft w:val="0"/>
              <w:marRight w:val="0"/>
              <w:marTop w:val="0"/>
              <w:marBottom w:val="0"/>
              <w:divBdr>
                <w:top w:val="none" w:sz="0" w:space="0" w:color="auto"/>
                <w:left w:val="none" w:sz="0" w:space="0" w:color="auto"/>
                <w:bottom w:val="none" w:sz="0" w:space="0" w:color="auto"/>
                <w:right w:val="none" w:sz="0" w:space="0" w:color="auto"/>
              </w:divBdr>
              <w:divsChild>
                <w:div w:id="507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4072">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8">
          <w:marLeft w:val="0"/>
          <w:marRight w:val="0"/>
          <w:marTop w:val="0"/>
          <w:marBottom w:val="0"/>
          <w:divBdr>
            <w:top w:val="none" w:sz="0" w:space="0" w:color="auto"/>
            <w:left w:val="none" w:sz="0" w:space="0" w:color="auto"/>
            <w:bottom w:val="none" w:sz="0" w:space="0" w:color="auto"/>
            <w:right w:val="none" w:sz="0" w:space="0" w:color="auto"/>
          </w:divBdr>
          <w:divsChild>
            <w:div w:id="1242132736">
              <w:marLeft w:val="0"/>
              <w:marRight w:val="0"/>
              <w:marTop w:val="0"/>
              <w:marBottom w:val="0"/>
              <w:divBdr>
                <w:top w:val="none" w:sz="0" w:space="0" w:color="auto"/>
                <w:left w:val="none" w:sz="0" w:space="0" w:color="auto"/>
                <w:bottom w:val="none" w:sz="0" w:space="0" w:color="auto"/>
                <w:right w:val="none" w:sz="0" w:space="0" w:color="auto"/>
              </w:divBdr>
              <w:divsChild>
                <w:div w:id="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4406">
      <w:bodyDiv w:val="1"/>
      <w:marLeft w:val="0"/>
      <w:marRight w:val="0"/>
      <w:marTop w:val="0"/>
      <w:marBottom w:val="0"/>
      <w:divBdr>
        <w:top w:val="none" w:sz="0" w:space="0" w:color="auto"/>
        <w:left w:val="none" w:sz="0" w:space="0" w:color="auto"/>
        <w:bottom w:val="none" w:sz="0" w:space="0" w:color="auto"/>
        <w:right w:val="none" w:sz="0" w:space="0" w:color="auto"/>
      </w:divBdr>
      <w:divsChild>
        <w:div w:id="1208689376">
          <w:marLeft w:val="0"/>
          <w:marRight w:val="0"/>
          <w:marTop w:val="0"/>
          <w:marBottom w:val="0"/>
          <w:divBdr>
            <w:top w:val="none" w:sz="0" w:space="0" w:color="auto"/>
            <w:left w:val="none" w:sz="0" w:space="0" w:color="auto"/>
            <w:bottom w:val="none" w:sz="0" w:space="0" w:color="auto"/>
            <w:right w:val="none" w:sz="0" w:space="0" w:color="auto"/>
          </w:divBdr>
          <w:divsChild>
            <w:div w:id="949897803">
              <w:marLeft w:val="0"/>
              <w:marRight w:val="0"/>
              <w:marTop w:val="0"/>
              <w:marBottom w:val="0"/>
              <w:divBdr>
                <w:top w:val="none" w:sz="0" w:space="0" w:color="auto"/>
                <w:left w:val="none" w:sz="0" w:space="0" w:color="auto"/>
                <w:bottom w:val="none" w:sz="0" w:space="0" w:color="auto"/>
                <w:right w:val="none" w:sz="0" w:space="0" w:color="auto"/>
              </w:divBdr>
              <w:divsChild>
                <w:div w:id="2079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meerkat\users\cdabaco\Desktop\2014-2015%20PharmaBA%20set%20fees%20ahpra%20media%20release.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eopathyboar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ews/2016-08-25-research-summi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teopathyboard.gov.au/News/Professional-Practice-Issues.aspx" TargetMode="External"/><Relationship Id="rId4" Type="http://schemas.openxmlformats.org/officeDocument/2006/relationships/settings" Target="settings.xml"/><Relationship Id="rId9" Type="http://schemas.openxmlformats.org/officeDocument/2006/relationships/hyperlink" Target="http://www.osteopathyboard.gov.au/Registration/Fees.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What-We-Do.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C84E-5D8E-45BE-88CD-A4E2DB7A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of the Osteopathy Board of Australia</vt:lpstr>
    </vt:vector>
  </TitlesOfParts>
  <Company>Johanna Villani Design</Company>
  <LinksUpToDate>false</LinksUpToDate>
  <CharactersWithSpaces>4869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- 26 August 2016</dc:title>
  <dc:subject>Communique</dc:subject>
  <dc:creator>Osteopathy Board</dc:creator>
  <cp:keywords>26 August 2016</cp:keywords>
  <cp:lastModifiedBy>Gareth Meade</cp:lastModifiedBy>
  <cp:revision>2</cp:revision>
  <cp:lastPrinted>2016-08-08T03:04:00Z</cp:lastPrinted>
  <dcterms:created xsi:type="dcterms:W3CDTF">2016-09-02T05:38:00Z</dcterms:created>
  <dcterms:modified xsi:type="dcterms:W3CDTF">2016-09-02T05:38:00Z</dcterms:modified>
</cp:coreProperties>
</file>