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984E15" w:rsidP="008A56B3">
      <w:pPr>
        <w:pStyle w:val="AHPRADocumenttitle"/>
      </w:pPr>
      <w:r>
        <w:rPr>
          <w:noProof/>
          <w:lang w:val="en-US"/>
        </w:rPr>
        <w:t>Communiqué</w:t>
      </w:r>
    </w:p>
    <w:p w:rsidR="009138F9" w:rsidRDefault="008B096E" w:rsidP="000E29C2">
      <w:pPr>
        <w:spacing w:line="360" w:lineRule="auto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2.95pt;margin-top:2pt;width:160.3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du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"/>
        </w:pict>
      </w:r>
    </w:p>
    <w:p w:rsidR="00622247" w:rsidRDefault="008A639E" w:rsidP="00984E15">
      <w:pPr>
        <w:pStyle w:val="AHPRADocumentsubheading"/>
      </w:pPr>
      <w:r>
        <w:t>Ju</w:t>
      </w:r>
      <w:r w:rsidR="00DE1971">
        <w:t>ly</w:t>
      </w:r>
      <w:r w:rsidR="00C7035B">
        <w:t xml:space="preserve"> 201</w:t>
      </w:r>
      <w:r w:rsidR="003D685C">
        <w:t>6</w:t>
      </w:r>
      <w:r w:rsidR="00984E15" w:rsidRPr="00984E15">
        <w:t xml:space="preserve"> meeting of the Osteopathy Board of Australia</w:t>
      </w:r>
    </w:p>
    <w:p w:rsidR="00312836" w:rsidRDefault="00984E15">
      <w:pPr>
        <w:pStyle w:val="AHPRABody0"/>
      </w:pPr>
      <w:r>
        <w:rPr>
          <w:color w:val="000000"/>
        </w:rPr>
        <w:t xml:space="preserve">The </w:t>
      </w:r>
      <w:r w:rsidR="008A639E">
        <w:rPr>
          <w:color w:val="000000"/>
        </w:rPr>
        <w:t>8</w:t>
      </w:r>
      <w:r w:rsidR="00DE1971">
        <w:rPr>
          <w:color w:val="000000"/>
        </w:rPr>
        <w:t>1</w:t>
      </w:r>
      <w:r w:rsidR="00DE1971">
        <w:rPr>
          <w:color w:val="000000"/>
          <w:vertAlign w:val="superscript"/>
        </w:rPr>
        <w:t>st</w:t>
      </w:r>
      <w:r w:rsidR="007F61FC">
        <w:rPr>
          <w:color w:val="000000"/>
        </w:rPr>
        <w:t xml:space="preserve"> </w:t>
      </w:r>
      <w:r w:rsidRPr="00DF1D2B">
        <w:rPr>
          <w:color w:val="000000"/>
        </w:rPr>
        <w:t xml:space="preserve">meeting of the Osteopathy Board of Australia </w:t>
      </w:r>
      <w:r>
        <w:rPr>
          <w:color w:val="000000"/>
        </w:rPr>
        <w:t>(the Board) was</w:t>
      </w:r>
      <w:r w:rsidRPr="00DF1D2B">
        <w:rPr>
          <w:color w:val="000000"/>
        </w:rPr>
        <w:t xml:space="preserve"> held</w:t>
      </w:r>
      <w:r>
        <w:rPr>
          <w:color w:val="000000"/>
        </w:rPr>
        <w:t xml:space="preserve"> on</w:t>
      </w:r>
      <w:r w:rsidRPr="00EE5AB8">
        <w:rPr>
          <w:lang w:val="en-GB"/>
        </w:rPr>
        <w:t xml:space="preserve"> </w:t>
      </w:r>
      <w:bookmarkStart w:id="0" w:name="_GoBack"/>
      <w:r w:rsidR="00DE1971">
        <w:rPr>
          <w:lang w:val="en-GB"/>
        </w:rPr>
        <w:t>28 July</w:t>
      </w:r>
      <w:r w:rsidR="00956637">
        <w:rPr>
          <w:lang w:val="en-GB"/>
        </w:rPr>
        <w:t xml:space="preserve"> 2016</w:t>
      </w:r>
      <w:bookmarkEnd w:id="0"/>
      <w:r>
        <w:rPr>
          <w:lang w:val="en-GB"/>
        </w:rPr>
        <w:t xml:space="preserve"> in </w:t>
      </w:r>
      <w:r w:rsidR="00A802C1">
        <w:rPr>
          <w:lang w:val="en-GB"/>
        </w:rPr>
        <w:t>Melbourne</w:t>
      </w:r>
      <w:r>
        <w:t>. The Board publishes</w:t>
      </w:r>
      <w:r w:rsidRPr="00F362BF">
        <w:t xml:space="preserve"> this communiqué on our website and email</w:t>
      </w:r>
      <w:r>
        <w:t>s</w:t>
      </w:r>
      <w:r w:rsidRPr="00F362BF">
        <w:t xml:space="preserve"> it to a broad range of stakeholders. </w:t>
      </w:r>
      <w:r w:rsidRPr="00D97E48">
        <w:t xml:space="preserve">At each meeting, the Board considers a wide range of issues, many of which are routine and are </w:t>
      </w:r>
      <w:r>
        <w:t>not included in this communiqué</w:t>
      </w:r>
      <w:r w:rsidRPr="00F362BF">
        <w:t>.</w:t>
      </w:r>
      <w:r w:rsidR="00956637">
        <w:t xml:space="preserve"> </w:t>
      </w:r>
    </w:p>
    <w:p w:rsidR="00956637" w:rsidRDefault="00956637">
      <w:pPr>
        <w:pStyle w:val="AHPRABody0"/>
      </w:pPr>
    </w:p>
    <w:p w:rsidR="00956637" w:rsidRDefault="00956637">
      <w:pPr>
        <w:pStyle w:val="AHPRABody0"/>
      </w:pPr>
      <w:r>
        <w:t xml:space="preserve">The whole Board meets as the Registration and Notification Committee (RNC) </w:t>
      </w:r>
      <w:r w:rsidR="00A5494C">
        <w:t>on the same day as the Board meetings</w:t>
      </w:r>
      <w:r>
        <w:t xml:space="preserve"> to consider registration and notification (complaint) matters.</w:t>
      </w:r>
    </w:p>
    <w:p w:rsidR="00DE1971" w:rsidRDefault="00DE1971">
      <w:pPr>
        <w:pStyle w:val="AHPRABody0"/>
      </w:pPr>
    </w:p>
    <w:p w:rsidR="00DE1971" w:rsidRDefault="00DE1971" w:rsidP="00DE1971">
      <w:pPr>
        <w:pStyle w:val="Default"/>
        <w:rPr>
          <w:b/>
          <w:bCs/>
          <w:color w:val="008EC4"/>
          <w:sz w:val="20"/>
          <w:szCs w:val="20"/>
        </w:rPr>
      </w:pPr>
      <w:r>
        <w:rPr>
          <w:b/>
          <w:bCs/>
          <w:color w:val="008EC4"/>
          <w:sz w:val="20"/>
          <w:szCs w:val="20"/>
        </w:rPr>
        <w:t>Approval of revised accreditation standards for osteopath</w:t>
      </w:r>
      <w:r w:rsidR="00E00832">
        <w:rPr>
          <w:b/>
          <w:bCs/>
          <w:color w:val="008EC4"/>
          <w:sz w:val="20"/>
          <w:szCs w:val="20"/>
        </w:rPr>
        <w:t>y</w:t>
      </w:r>
    </w:p>
    <w:p w:rsidR="00DE1971" w:rsidRDefault="00DE1971" w:rsidP="00DE1971">
      <w:pPr>
        <w:pStyle w:val="Default"/>
        <w:rPr>
          <w:b/>
          <w:bCs/>
          <w:color w:val="008EC4"/>
          <w:sz w:val="20"/>
          <w:szCs w:val="20"/>
        </w:rPr>
      </w:pPr>
    </w:p>
    <w:p w:rsidR="00DE1971" w:rsidRDefault="00DE1971" w:rsidP="00DE19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Under the National Law, the Australasian Osteopathic Accreditation Council (AOAC) is responsible for developing accreditation standards for the approval of the Board. Accreditation standards are used to assess whether a program of study, and the education provider that delivers the program of study, provide individuals who complete the program with the knowledge, skills and professional attributes to practise </w:t>
      </w:r>
      <w:r w:rsidR="00510EA8">
        <w:rPr>
          <w:sz w:val="20"/>
          <w:szCs w:val="20"/>
        </w:rPr>
        <w:t xml:space="preserve">as </w:t>
      </w:r>
      <w:r w:rsidR="00510EA8" w:rsidRPr="00510EA8">
        <w:rPr>
          <w:sz w:val="20"/>
          <w:szCs w:val="20"/>
        </w:rPr>
        <w:t>osteopaths</w:t>
      </w:r>
      <w:r w:rsidR="00510EA8">
        <w:rPr>
          <w:sz w:val="20"/>
          <w:szCs w:val="20"/>
        </w:rPr>
        <w:t>.</w:t>
      </w:r>
      <w:r w:rsidR="00510EA8" w:rsidRPr="00510EA8">
        <w:rPr>
          <w:sz w:val="20"/>
          <w:szCs w:val="20"/>
        </w:rPr>
        <w:t xml:space="preserve"> </w:t>
      </w:r>
    </w:p>
    <w:p w:rsidR="00361579" w:rsidRDefault="00DE1971" w:rsidP="00DE1971">
      <w:pPr>
        <w:rPr>
          <w:szCs w:val="20"/>
        </w:rPr>
      </w:pPr>
      <w:r>
        <w:rPr>
          <w:szCs w:val="20"/>
        </w:rPr>
        <w:t xml:space="preserve">The AOAC completed the scheduled review of the </w:t>
      </w:r>
      <w:r w:rsidR="00C7505B" w:rsidRPr="00C7505B">
        <w:rPr>
          <w:szCs w:val="20"/>
        </w:rPr>
        <w:t>accreditation standards</w:t>
      </w:r>
      <w:r w:rsidRPr="00DE1971">
        <w:rPr>
          <w:i/>
          <w:szCs w:val="20"/>
        </w:rPr>
        <w:t>.</w:t>
      </w:r>
      <w:r w:rsidR="00C7505B">
        <w:rPr>
          <w:i/>
          <w:szCs w:val="20"/>
        </w:rPr>
        <w:t xml:space="preserve"> </w:t>
      </w:r>
      <w:r w:rsidRPr="00725F23">
        <w:rPr>
          <w:szCs w:val="20"/>
        </w:rPr>
        <w:t xml:space="preserve">The entry-level program accreditation standards specify the criteria against which </w:t>
      </w:r>
      <w:r w:rsidR="00C7505B">
        <w:rPr>
          <w:szCs w:val="20"/>
        </w:rPr>
        <w:t>osteopathy</w:t>
      </w:r>
      <w:r w:rsidRPr="00725F23">
        <w:rPr>
          <w:szCs w:val="20"/>
        </w:rPr>
        <w:t xml:space="preserve"> programs </w:t>
      </w:r>
      <w:r>
        <w:rPr>
          <w:szCs w:val="20"/>
        </w:rPr>
        <w:t xml:space="preserve">of study </w:t>
      </w:r>
      <w:r w:rsidRPr="00725F23">
        <w:rPr>
          <w:szCs w:val="20"/>
        </w:rPr>
        <w:t xml:space="preserve">are evaluated. Throughout the review, </w:t>
      </w:r>
      <w:r w:rsidR="00C7505B">
        <w:rPr>
          <w:szCs w:val="20"/>
        </w:rPr>
        <w:t>the AOAC</w:t>
      </w:r>
      <w:r>
        <w:rPr>
          <w:szCs w:val="20"/>
        </w:rPr>
        <w:t xml:space="preserve"> undertook</w:t>
      </w:r>
      <w:r w:rsidRPr="00725F23">
        <w:rPr>
          <w:szCs w:val="20"/>
        </w:rPr>
        <w:t xml:space="preserve"> wide-ranging </w:t>
      </w:r>
      <w:r>
        <w:rPr>
          <w:szCs w:val="20"/>
        </w:rPr>
        <w:t xml:space="preserve">public </w:t>
      </w:r>
      <w:r w:rsidRPr="00725F23">
        <w:rPr>
          <w:szCs w:val="20"/>
        </w:rPr>
        <w:t>consultation.</w:t>
      </w:r>
      <w:r w:rsidR="00361579">
        <w:rPr>
          <w:szCs w:val="20"/>
        </w:rPr>
        <w:t xml:space="preserve"> </w:t>
      </w:r>
      <w:r w:rsidR="00C7505B">
        <w:t>The AOAC</w:t>
      </w:r>
      <w:r>
        <w:rPr>
          <w:szCs w:val="20"/>
        </w:rPr>
        <w:t xml:space="preserve"> considered the feedback received from stakeholders during the consultation when finalising the standards for submission to the Board.</w:t>
      </w:r>
    </w:p>
    <w:p w:rsidR="00DE1971" w:rsidRDefault="00DE1971" w:rsidP="00DE1971">
      <w:pPr>
        <w:rPr>
          <w:szCs w:val="20"/>
        </w:rPr>
      </w:pPr>
      <w:r>
        <w:rPr>
          <w:szCs w:val="20"/>
        </w:rPr>
        <w:t>The Board has approved</w:t>
      </w:r>
      <w:r w:rsidRPr="00892B3A">
        <w:rPr>
          <w:szCs w:val="20"/>
        </w:rPr>
        <w:t xml:space="preserve"> the revised </w:t>
      </w:r>
      <w:r w:rsidR="00C7505B">
        <w:rPr>
          <w:i/>
          <w:iCs/>
        </w:rPr>
        <w:t>Accreditation Standards for osteopathic courses in Australia</w:t>
      </w:r>
      <w:r>
        <w:rPr>
          <w:i/>
          <w:szCs w:val="20"/>
        </w:rPr>
        <w:t xml:space="preserve">. </w:t>
      </w:r>
      <w:r>
        <w:rPr>
          <w:szCs w:val="20"/>
        </w:rPr>
        <w:t>They will be published on the Board’s website under the ‘</w:t>
      </w:r>
      <w:r>
        <w:rPr>
          <w:i/>
          <w:iCs/>
          <w:szCs w:val="20"/>
        </w:rPr>
        <w:t>Accreditation</w:t>
      </w:r>
      <w:r>
        <w:rPr>
          <w:szCs w:val="20"/>
        </w:rPr>
        <w:t>’ tab and take effect on the day they are published on the Board’s website.</w:t>
      </w:r>
    </w:p>
    <w:p w:rsidR="00C7505B" w:rsidRDefault="00C7505B" w:rsidP="00361579">
      <w:pPr>
        <w:pStyle w:val="AHPRABody0"/>
      </w:pPr>
    </w:p>
    <w:p w:rsidR="00DE1971" w:rsidRPr="007249BA" w:rsidRDefault="00DE1971" w:rsidP="00DE1971">
      <w:pPr>
        <w:pStyle w:val="Default"/>
        <w:spacing w:after="200"/>
        <w:rPr>
          <w:b/>
          <w:bCs/>
          <w:color w:val="008EC4"/>
          <w:sz w:val="20"/>
          <w:szCs w:val="20"/>
        </w:rPr>
      </w:pPr>
      <w:r w:rsidRPr="007249BA">
        <w:rPr>
          <w:b/>
          <w:bCs/>
          <w:color w:val="008EC4"/>
          <w:sz w:val="20"/>
          <w:szCs w:val="20"/>
        </w:rPr>
        <w:t>Call for applications for appointment to the Scheduled Medicines Expert Committee</w:t>
      </w:r>
    </w:p>
    <w:p w:rsidR="00DE1971" w:rsidRPr="007249BA" w:rsidRDefault="00DE1971" w:rsidP="00DE1971">
      <w:pPr>
        <w:shd w:val="clear" w:color="auto" w:fill="FFFFFF"/>
        <w:spacing w:after="200"/>
        <w:ind w:right="270"/>
        <w:rPr>
          <w:iCs/>
          <w:szCs w:val="20"/>
        </w:rPr>
      </w:pPr>
      <w:r w:rsidRPr="007249BA">
        <w:rPr>
          <w:iCs/>
          <w:szCs w:val="20"/>
        </w:rPr>
        <w:t>AHPRA is seeking expressions of interest from suitably qualified and experienced persons to be appointed to a Scheduled Medicines Expert Committee (the Expert Committee).</w:t>
      </w:r>
    </w:p>
    <w:p w:rsidR="00DE1971" w:rsidRPr="007249BA" w:rsidRDefault="00DE1971" w:rsidP="00DE1971">
      <w:pPr>
        <w:shd w:val="clear" w:color="auto" w:fill="FFFFFF"/>
        <w:spacing w:after="200"/>
        <w:ind w:right="270"/>
        <w:rPr>
          <w:iCs/>
          <w:szCs w:val="20"/>
        </w:rPr>
      </w:pPr>
      <w:r w:rsidRPr="007249BA">
        <w:rPr>
          <w:iCs/>
          <w:szCs w:val="20"/>
        </w:rPr>
        <w:t xml:space="preserve">The role of the Expert Committee is to advise the National Boards on policy related to the use of scheduled medicines, including matters relevant to National Boards developing submissions </w:t>
      </w:r>
      <w:r w:rsidR="0077524F">
        <w:rPr>
          <w:iCs/>
          <w:szCs w:val="20"/>
        </w:rPr>
        <w:t xml:space="preserve">regarding </w:t>
      </w:r>
      <w:proofErr w:type="gramStart"/>
      <w:r w:rsidRPr="007249BA">
        <w:rPr>
          <w:iCs/>
          <w:szCs w:val="20"/>
        </w:rPr>
        <w:t>endorsements</w:t>
      </w:r>
      <w:proofErr w:type="gramEnd"/>
      <w:r w:rsidRPr="007249BA">
        <w:rPr>
          <w:iCs/>
          <w:szCs w:val="20"/>
        </w:rPr>
        <w:t xml:space="preserve"> for scheduled medicines for consideration by the Australian Health Workforce Ministerial Council. Appointments are for a period of up to three years and are expected to start in late September 2016.</w:t>
      </w:r>
      <w:r w:rsidR="00C7505B">
        <w:rPr>
          <w:iCs/>
          <w:szCs w:val="20"/>
        </w:rPr>
        <w:t xml:space="preserve"> </w:t>
      </w:r>
      <w:r w:rsidRPr="007249BA">
        <w:rPr>
          <w:iCs/>
          <w:szCs w:val="20"/>
        </w:rPr>
        <w:t>Applications close Monday 22 August 2016.</w:t>
      </w:r>
    </w:p>
    <w:p w:rsidR="00DE1971" w:rsidRDefault="00DE1971" w:rsidP="00DE1971">
      <w:pPr>
        <w:shd w:val="clear" w:color="auto" w:fill="FFFFFF"/>
        <w:spacing w:after="200"/>
        <w:ind w:right="270"/>
        <w:rPr>
          <w:iCs/>
          <w:szCs w:val="20"/>
        </w:rPr>
      </w:pPr>
      <w:r w:rsidRPr="007249BA">
        <w:rPr>
          <w:iCs/>
          <w:szCs w:val="20"/>
        </w:rPr>
        <w:t xml:space="preserve">For more information on the role and the application process, you can download the application guide and application forms from the </w:t>
      </w:r>
      <w:hyperlink r:id="rId8" w:history="1">
        <w:r w:rsidRPr="007249BA">
          <w:rPr>
            <w:rStyle w:val="Hyperlink"/>
            <w:iCs/>
            <w:szCs w:val="20"/>
          </w:rPr>
          <w:t>AHPRA website</w:t>
        </w:r>
      </w:hyperlink>
      <w:r w:rsidRPr="007249BA">
        <w:rPr>
          <w:iCs/>
          <w:szCs w:val="20"/>
        </w:rPr>
        <w:t>.</w:t>
      </w:r>
    </w:p>
    <w:p w:rsidR="00984E15" w:rsidRPr="00984E15" w:rsidRDefault="00984E15" w:rsidP="004F7F60">
      <w:pPr>
        <w:pStyle w:val="AHPRASubhead"/>
        <w:spacing w:before="240" w:after="0"/>
      </w:pPr>
      <w:r w:rsidRPr="00984E15">
        <w:t>Keeping in touch with the Board</w:t>
      </w:r>
    </w:p>
    <w:p w:rsidR="00B169C7" w:rsidRDefault="00B169C7">
      <w:pPr>
        <w:pStyle w:val="AHPRABody0"/>
      </w:pPr>
    </w:p>
    <w:p w:rsidR="00312836" w:rsidRDefault="00984E15">
      <w:pPr>
        <w:pStyle w:val="AHPRABody0"/>
      </w:pPr>
      <w:r>
        <w:t xml:space="preserve">The Board publishes a range of information about registration and the Board’s expectations of practitioners on its website at </w:t>
      </w:r>
      <w:hyperlink r:id="rId9" w:history="1">
        <w:r w:rsidRPr="00660816">
          <w:rPr>
            <w:rStyle w:val="Hyperlink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2F2ED3" w:rsidRDefault="002F2ED3" w:rsidP="0092054F">
      <w:pPr>
        <w:spacing w:before="0" w:after="0"/>
        <w:rPr>
          <w:szCs w:val="20"/>
          <w:lang w:val="en-US"/>
        </w:rPr>
      </w:pPr>
    </w:p>
    <w:p w:rsidR="00312836" w:rsidRDefault="00984E15">
      <w:pPr>
        <w:pStyle w:val="AHPRABody0"/>
        <w:rPr>
          <w:lang w:val="en-US"/>
        </w:rPr>
      </w:pPr>
      <w:proofErr w:type="spellStart"/>
      <w:r w:rsidRPr="00AE3701">
        <w:rPr>
          <w:lang w:val="en-US"/>
        </w:rPr>
        <w:t>Dr</w:t>
      </w:r>
      <w:proofErr w:type="spellEnd"/>
      <w:r w:rsidRPr="00AE3701">
        <w:rPr>
          <w:lang w:val="en-US"/>
        </w:rPr>
        <w:t xml:space="preserve"> </w:t>
      </w:r>
      <w:r>
        <w:rPr>
          <w:lang w:val="en-US"/>
        </w:rPr>
        <w:t xml:space="preserve">Nikole </w:t>
      </w:r>
      <w:proofErr w:type="spellStart"/>
      <w:r>
        <w:rPr>
          <w:lang w:val="en-US"/>
        </w:rPr>
        <w:t>Grbin</w:t>
      </w:r>
      <w:proofErr w:type="spellEnd"/>
      <w:r>
        <w:rPr>
          <w:lang w:val="en-US"/>
        </w:rPr>
        <w:t xml:space="preserve"> (Osteopath)</w:t>
      </w:r>
    </w:p>
    <w:p w:rsidR="003B5E14" w:rsidRDefault="00984E15" w:rsidP="0092054F">
      <w:pPr>
        <w:spacing w:before="0" w:after="0"/>
        <w:rPr>
          <w:color w:val="0070C0"/>
          <w:szCs w:val="20"/>
          <w:lang w:val="en-US"/>
        </w:rPr>
      </w:pPr>
      <w:r w:rsidRPr="007D493A">
        <w:rPr>
          <w:color w:val="0070C0"/>
          <w:szCs w:val="20"/>
          <w:lang w:val="en-US"/>
        </w:rPr>
        <w:t>Chair</w:t>
      </w:r>
    </w:p>
    <w:p w:rsidR="0092054F" w:rsidRDefault="002169EA" w:rsidP="0092054F">
      <w:pPr>
        <w:spacing w:before="0" w:after="0"/>
        <w:rPr>
          <w:szCs w:val="20"/>
          <w:lang w:val="en-US"/>
        </w:rPr>
      </w:pPr>
      <w:r>
        <w:rPr>
          <w:color w:val="0070C0"/>
          <w:szCs w:val="20"/>
          <w:lang w:val="en-US"/>
        </w:rPr>
        <w:t>Osteopathy Board of Australia</w:t>
      </w:r>
      <w:r w:rsidR="00984E15">
        <w:rPr>
          <w:color w:val="0070C0"/>
          <w:szCs w:val="20"/>
          <w:lang w:val="en-US"/>
        </w:rPr>
        <w:br/>
      </w:r>
    </w:p>
    <w:p w:rsidR="00312836" w:rsidRDefault="004C6E64">
      <w:pPr>
        <w:pStyle w:val="AHPRABody0"/>
      </w:pPr>
      <w:r>
        <w:rPr>
          <w:lang w:val="en-US"/>
        </w:rPr>
        <w:t xml:space="preserve">8 </w:t>
      </w:r>
      <w:r w:rsidR="00DE1971">
        <w:rPr>
          <w:lang w:val="en-US"/>
        </w:rPr>
        <w:t>August</w:t>
      </w:r>
      <w:r w:rsidR="000542EA">
        <w:rPr>
          <w:lang w:val="en-US"/>
        </w:rPr>
        <w:t xml:space="preserve"> 2016</w:t>
      </w:r>
    </w:p>
    <w:sectPr w:rsidR="00312836" w:rsidSect="004B438E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71" w:rsidRDefault="00DE1971" w:rsidP="008A56B3">
      <w:r>
        <w:separator/>
      </w:r>
    </w:p>
    <w:p w:rsidR="00DE1971" w:rsidRDefault="00DE1971" w:rsidP="008A56B3"/>
  </w:endnote>
  <w:endnote w:type="continuationSeparator" w:id="0">
    <w:p w:rsidR="00DE1971" w:rsidRDefault="00DE1971" w:rsidP="008A56B3">
      <w:r>
        <w:continuationSeparator/>
      </w:r>
    </w:p>
    <w:p w:rsidR="00DE1971" w:rsidRDefault="00DE1971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71" w:rsidRDefault="00AC7A17" w:rsidP="008A56B3">
    <w:pPr>
      <w:pStyle w:val="AHPRAfootnote"/>
    </w:pPr>
    <w:r>
      <w:fldChar w:fldCharType="begin"/>
    </w:r>
    <w:r w:rsidR="00DE1971">
      <w:instrText xml:space="preserve">PAGE  </w:instrText>
    </w:r>
    <w:r>
      <w:fldChar w:fldCharType="end"/>
    </w:r>
  </w:p>
  <w:p w:rsidR="00DE1971" w:rsidRDefault="00DE1971" w:rsidP="008A56B3">
    <w:pPr>
      <w:pStyle w:val="AHPRAfootnote"/>
    </w:pPr>
  </w:p>
  <w:p w:rsidR="00DE1971" w:rsidRDefault="00DE1971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71" w:rsidRPr="000E7E28" w:rsidRDefault="008B096E" w:rsidP="007840D7">
    <w:pPr>
      <w:pStyle w:val="AHPRApagenumber"/>
      <w:tabs>
        <w:tab w:val="center" w:pos="4536"/>
        <w:tab w:val="right" w:pos="9356"/>
      </w:tabs>
      <w:ind w:right="-233"/>
      <w:jc w:val="left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DE1971">
          <w:tab/>
        </w:r>
        <w:r w:rsidR="00DE1971">
          <w:tab/>
        </w:r>
        <w:r w:rsidR="00DE1971" w:rsidRPr="000E7E28">
          <w:t xml:space="preserve">Page </w:t>
        </w:r>
        <w:r w:rsidR="00AC7A17">
          <w:fldChar w:fldCharType="begin"/>
        </w:r>
        <w:r w:rsidR="00005F28">
          <w:instrText xml:space="preserve"> PAGE </w:instrText>
        </w:r>
        <w:r w:rsidR="00AC7A17">
          <w:fldChar w:fldCharType="separate"/>
        </w:r>
        <w:r w:rsidR="0064404F">
          <w:rPr>
            <w:noProof/>
          </w:rPr>
          <w:t>2</w:t>
        </w:r>
        <w:r w:rsidR="00AC7A17">
          <w:rPr>
            <w:noProof/>
          </w:rPr>
          <w:fldChar w:fldCharType="end"/>
        </w:r>
        <w:r w:rsidR="00DE1971" w:rsidRPr="000E7E28">
          <w:t xml:space="preserve"> of </w:t>
        </w:r>
        <w:r w:rsidR="00AC7A17">
          <w:fldChar w:fldCharType="begin"/>
        </w:r>
        <w:r w:rsidR="00005F28">
          <w:instrText xml:space="preserve"> NUMPAGES  </w:instrText>
        </w:r>
        <w:r w:rsidR="00AC7A17">
          <w:fldChar w:fldCharType="separate"/>
        </w:r>
        <w:r>
          <w:rPr>
            <w:noProof/>
          </w:rPr>
          <w:t>1</w:t>
        </w:r>
        <w:r w:rsidR="00AC7A1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71" w:rsidRDefault="00DE1971" w:rsidP="008A56B3">
      <w:r>
        <w:separator/>
      </w:r>
    </w:p>
  </w:footnote>
  <w:footnote w:type="continuationSeparator" w:id="0">
    <w:p w:rsidR="00DE1971" w:rsidRDefault="00DE1971" w:rsidP="008A56B3">
      <w:r>
        <w:continuationSeparator/>
      </w:r>
    </w:p>
    <w:p w:rsidR="00DE1971" w:rsidRDefault="00DE1971" w:rsidP="008A56B3"/>
  </w:footnote>
  <w:footnote w:type="continuationNotice" w:id="1">
    <w:p w:rsidR="00DE1971" w:rsidRDefault="00DE1971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71" w:rsidRPr="00315933" w:rsidRDefault="00DE1971" w:rsidP="008A56B3"/>
  <w:p w:rsidR="00DE1971" w:rsidRDefault="00DE1971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71" w:rsidRDefault="00DE1971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1971" w:rsidRDefault="00DE1971" w:rsidP="008A56B3"/>
  <w:p w:rsidR="00DE1971" w:rsidRDefault="00DE1971" w:rsidP="008A56B3"/>
  <w:p w:rsidR="00DE1971" w:rsidRDefault="00DE1971" w:rsidP="008A56B3"/>
  <w:p w:rsidR="00DE1971" w:rsidRDefault="00DE1971" w:rsidP="008A56B3"/>
  <w:p w:rsidR="00DE1971" w:rsidRDefault="00DE1971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6"/>
    <w:multiLevelType w:val="multilevel"/>
    <w:tmpl w:val="C4183F12"/>
    <w:numStyleLink w:val="AHPRANumberedlist"/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AF51943"/>
    <w:multiLevelType w:val="hybridMultilevel"/>
    <w:tmpl w:val="A88C7008"/>
    <w:lvl w:ilvl="0" w:tplc="7B44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1860B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0C9E37A3"/>
    <w:multiLevelType w:val="multilevel"/>
    <w:tmpl w:val="3FE6BF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417313"/>
    <w:multiLevelType w:val="hybridMultilevel"/>
    <w:tmpl w:val="F6C23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54EA"/>
    <w:multiLevelType w:val="multilevel"/>
    <w:tmpl w:val="C61EE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C1A67"/>
    <w:multiLevelType w:val="hybridMultilevel"/>
    <w:tmpl w:val="5182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1576"/>
    <w:multiLevelType w:val="hybridMultilevel"/>
    <w:tmpl w:val="4D6A62EC"/>
    <w:lvl w:ilvl="0" w:tplc="24E60E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A6FBA"/>
    <w:multiLevelType w:val="hybridMultilevel"/>
    <w:tmpl w:val="1AFEEE5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2F84105B"/>
    <w:multiLevelType w:val="hybridMultilevel"/>
    <w:tmpl w:val="98962E64"/>
    <w:lvl w:ilvl="0" w:tplc="0554E43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7C81"/>
    <w:multiLevelType w:val="multilevel"/>
    <w:tmpl w:val="7980C9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57753"/>
    <w:multiLevelType w:val="hybridMultilevel"/>
    <w:tmpl w:val="17BA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B3714"/>
    <w:multiLevelType w:val="multilevel"/>
    <w:tmpl w:val="C4183F12"/>
    <w:numStyleLink w:val="AHPRANumberedlist"/>
  </w:abstractNum>
  <w:abstractNum w:abstractNumId="17" w15:restartNumberingAfterBreak="0">
    <w:nsid w:val="414C52D6"/>
    <w:multiLevelType w:val="hybridMultilevel"/>
    <w:tmpl w:val="3404D9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1EE3"/>
    <w:multiLevelType w:val="hybridMultilevel"/>
    <w:tmpl w:val="3138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20901"/>
    <w:multiLevelType w:val="hybridMultilevel"/>
    <w:tmpl w:val="3CFAB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31660"/>
    <w:multiLevelType w:val="multilevel"/>
    <w:tmpl w:val="C4183F12"/>
    <w:numStyleLink w:val="AHPRANumberedlist"/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16"/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12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15"/>
    <w:rsid w:val="00000033"/>
    <w:rsid w:val="00005F28"/>
    <w:rsid w:val="000064AF"/>
    <w:rsid w:val="00006922"/>
    <w:rsid w:val="000111B2"/>
    <w:rsid w:val="000220BD"/>
    <w:rsid w:val="00023904"/>
    <w:rsid w:val="000307A9"/>
    <w:rsid w:val="000334D7"/>
    <w:rsid w:val="00052BF3"/>
    <w:rsid w:val="000542EA"/>
    <w:rsid w:val="00061983"/>
    <w:rsid w:val="00061A94"/>
    <w:rsid w:val="00067D1E"/>
    <w:rsid w:val="00071439"/>
    <w:rsid w:val="00071D70"/>
    <w:rsid w:val="00082158"/>
    <w:rsid w:val="00082456"/>
    <w:rsid w:val="000945FB"/>
    <w:rsid w:val="000A076C"/>
    <w:rsid w:val="000A1543"/>
    <w:rsid w:val="000A6BF7"/>
    <w:rsid w:val="000C45EB"/>
    <w:rsid w:val="000D12D1"/>
    <w:rsid w:val="000E00BF"/>
    <w:rsid w:val="000E29C2"/>
    <w:rsid w:val="000E486F"/>
    <w:rsid w:val="000E5EEF"/>
    <w:rsid w:val="000E6D3A"/>
    <w:rsid w:val="000E7E28"/>
    <w:rsid w:val="000F5D90"/>
    <w:rsid w:val="000F71FB"/>
    <w:rsid w:val="001004CD"/>
    <w:rsid w:val="0010139F"/>
    <w:rsid w:val="00107F83"/>
    <w:rsid w:val="0011487C"/>
    <w:rsid w:val="00131CE1"/>
    <w:rsid w:val="00136D16"/>
    <w:rsid w:val="00144DEF"/>
    <w:rsid w:val="00146F33"/>
    <w:rsid w:val="001506FE"/>
    <w:rsid w:val="00162C6D"/>
    <w:rsid w:val="00196F14"/>
    <w:rsid w:val="001C425C"/>
    <w:rsid w:val="001C5EAE"/>
    <w:rsid w:val="001D01AA"/>
    <w:rsid w:val="001E1E31"/>
    <w:rsid w:val="001E2849"/>
    <w:rsid w:val="001E4A94"/>
    <w:rsid w:val="001E5621"/>
    <w:rsid w:val="002040A7"/>
    <w:rsid w:val="002169EA"/>
    <w:rsid w:val="00220A3B"/>
    <w:rsid w:val="00224708"/>
    <w:rsid w:val="0022736D"/>
    <w:rsid w:val="0022769E"/>
    <w:rsid w:val="00236A1F"/>
    <w:rsid w:val="00240D52"/>
    <w:rsid w:val="00260EDF"/>
    <w:rsid w:val="00270394"/>
    <w:rsid w:val="0028013F"/>
    <w:rsid w:val="0028496C"/>
    <w:rsid w:val="00294EC4"/>
    <w:rsid w:val="00295B44"/>
    <w:rsid w:val="002A45B4"/>
    <w:rsid w:val="002A6406"/>
    <w:rsid w:val="002B2D48"/>
    <w:rsid w:val="002C01C5"/>
    <w:rsid w:val="002C08FB"/>
    <w:rsid w:val="002C27AE"/>
    <w:rsid w:val="002C34EA"/>
    <w:rsid w:val="002D0798"/>
    <w:rsid w:val="002D599C"/>
    <w:rsid w:val="002E1641"/>
    <w:rsid w:val="002F0FD7"/>
    <w:rsid w:val="002F2ED3"/>
    <w:rsid w:val="00301BC0"/>
    <w:rsid w:val="00303BE1"/>
    <w:rsid w:val="00305AFC"/>
    <w:rsid w:val="00307035"/>
    <w:rsid w:val="00310295"/>
    <w:rsid w:val="00312836"/>
    <w:rsid w:val="003246FD"/>
    <w:rsid w:val="00330D33"/>
    <w:rsid w:val="00331F9B"/>
    <w:rsid w:val="003354E4"/>
    <w:rsid w:val="00336B22"/>
    <w:rsid w:val="00337717"/>
    <w:rsid w:val="00354C75"/>
    <w:rsid w:val="00361579"/>
    <w:rsid w:val="00361DE0"/>
    <w:rsid w:val="00373A35"/>
    <w:rsid w:val="003833D5"/>
    <w:rsid w:val="00390068"/>
    <w:rsid w:val="00393516"/>
    <w:rsid w:val="003977D4"/>
    <w:rsid w:val="003A38E9"/>
    <w:rsid w:val="003A4E0E"/>
    <w:rsid w:val="003B5E14"/>
    <w:rsid w:val="003C2E37"/>
    <w:rsid w:val="003D0B3C"/>
    <w:rsid w:val="003D0CDC"/>
    <w:rsid w:val="003D685C"/>
    <w:rsid w:val="003D6DBD"/>
    <w:rsid w:val="003E00B5"/>
    <w:rsid w:val="003E3268"/>
    <w:rsid w:val="003E6BB2"/>
    <w:rsid w:val="003F2F06"/>
    <w:rsid w:val="003F488F"/>
    <w:rsid w:val="003F714C"/>
    <w:rsid w:val="00405C0A"/>
    <w:rsid w:val="004069C8"/>
    <w:rsid w:val="0041096D"/>
    <w:rsid w:val="00414AF0"/>
    <w:rsid w:val="00414F2C"/>
    <w:rsid w:val="00416F51"/>
    <w:rsid w:val="004240C4"/>
    <w:rsid w:val="00426DEC"/>
    <w:rsid w:val="00427CC4"/>
    <w:rsid w:val="00450B34"/>
    <w:rsid w:val="004606A7"/>
    <w:rsid w:val="004616BE"/>
    <w:rsid w:val="00462F0F"/>
    <w:rsid w:val="004671AD"/>
    <w:rsid w:val="00483DD1"/>
    <w:rsid w:val="004851D1"/>
    <w:rsid w:val="00487EF8"/>
    <w:rsid w:val="00491065"/>
    <w:rsid w:val="004A21F7"/>
    <w:rsid w:val="004A5E5D"/>
    <w:rsid w:val="004B438E"/>
    <w:rsid w:val="004B747B"/>
    <w:rsid w:val="004C63AF"/>
    <w:rsid w:val="004C6E64"/>
    <w:rsid w:val="004D596F"/>
    <w:rsid w:val="004D7537"/>
    <w:rsid w:val="004F5C05"/>
    <w:rsid w:val="004F6C12"/>
    <w:rsid w:val="004F7F60"/>
    <w:rsid w:val="005056B4"/>
    <w:rsid w:val="00510EA8"/>
    <w:rsid w:val="00516EF2"/>
    <w:rsid w:val="00520AD6"/>
    <w:rsid w:val="00530BFF"/>
    <w:rsid w:val="00535184"/>
    <w:rsid w:val="0053749F"/>
    <w:rsid w:val="00541A2A"/>
    <w:rsid w:val="00546B56"/>
    <w:rsid w:val="005518A4"/>
    <w:rsid w:val="00551FD9"/>
    <w:rsid w:val="00553A4C"/>
    <w:rsid w:val="00554335"/>
    <w:rsid w:val="005565CE"/>
    <w:rsid w:val="00565BBC"/>
    <w:rsid w:val="005708AE"/>
    <w:rsid w:val="00580A5B"/>
    <w:rsid w:val="005826C0"/>
    <w:rsid w:val="00586F30"/>
    <w:rsid w:val="005A0FA9"/>
    <w:rsid w:val="005A507F"/>
    <w:rsid w:val="005A72A2"/>
    <w:rsid w:val="005B04F4"/>
    <w:rsid w:val="005B07E8"/>
    <w:rsid w:val="005C5932"/>
    <w:rsid w:val="005C6817"/>
    <w:rsid w:val="005D00FC"/>
    <w:rsid w:val="005D06D7"/>
    <w:rsid w:val="005D6959"/>
    <w:rsid w:val="005E0245"/>
    <w:rsid w:val="005F0741"/>
    <w:rsid w:val="005F393C"/>
    <w:rsid w:val="005F3941"/>
    <w:rsid w:val="005F6786"/>
    <w:rsid w:val="00607681"/>
    <w:rsid w:val="00616043"/>
    <w:rsid w:val="0061793F"/>
    <w:rsid w:val="00620B28"/>
    <w:rsid w:val="00622247"/>
    <w:rsid w:val="00622692"/>
    <w:rsid w:val="00640B2C"/>
    <w:rsid w:val="0064226A"/>
    <w:rsid w:val="0064404F"/>
    <w:rsid w:val="0065012C"/>
    <w:rsid w:val="00652069"/>
    <w:rsid w:val="006600F0"/>
    <w:rsid w:val="00663E87"/>
    <w:rsid w:val="00666B15"/>
    <w:rsid w:val="00667CAD"/>
    <w:rsid w:val="00670F48"/>
    <w:rsid w:val="00672A98"/>
    <w:rsid w:val="00681D5E"/>
    <w:rsid w:val="006870F9"/>
    <w:rsid w:val="006A0304"/>
    <w:rsid w:val="006A52C3"/>
    <w:rsid w:val="006B0F5E"/>
    <w:rsid w:val="006C0257"/>
    <w:rsid w:val="006C0E29"/>
    <w:rsid w:val="006C6C13"/>
    <w:rsid w:val="006C786E"/>
    <w:rsid w:val="006D1066"/>
    <w:rsid w:val="006D30FE"/>
    <w:rsid w:val="006D3757"/>
    <w:rsid w:val="006D45FD"/>
    <w:rsid w:val="006D6D35"/>
    <w:rsid w:val="006E19CD"/>
    <w:rsid w:val="006E6BBC"/>
    <w:rsid w:val="006F262E"/>
    <w:rsid w:val="006F3204"/>
    <w:rsid w:val="006F585B"/>
    <w:rsid w:val="006F7348"/>
    <w:rsid w:val="006F796D"/>
    <w:rsid w:val="0070155F"/>
    <w:rsid w:val="007372A4"/>
    <w:rsid w:val="00741B04"/>
    <w:rsid w:val="00743DD2"/>
    <w:rsid w:val="00756249"/>
    <w:rsid w:val="0075638C"/>
    <w:rsid w:val="0076115C"/>
    <w:rsid w:val="00766393"/>
    <w:rsid w:val="007664F3"/>
    <w:rsid w:val="0077524F"/>
    <w:rsid w:val="00782D44"/>
    <w:rsid w:val="007840D7"/>
    <w:rsid w:val="00786108"/>
    <w:rsid w:val="007907EC"/>
    <w:rsid w:val="0079197C"/>
    <w:rsid w:val="007A35B9"/>
    <w:rsid w:val="007A4B2B"/>
    <w:rsid w:val="007B77D6"/>
    <w:rsid w:val="007C0B6E"/>
    <w:rsid w:val="007D4836"/>
    <w:rsid w:val="007E2331"/>
    <w:rsid w:val="007E2C84"/>
    <w:rsid w:val="007E3545"/>
    <w:rsid w:val="007F0095"/>
    <w:rsid w:val="007F61FC"/>
    <w:rsid w:val="00820D1A"/>
    <w:rsid w:val="008338F7"/>
    <w:rsid w:val="00836397"/>
    <w:rsid w:val="00845054"/>
    <w:rsid w:val="00852D1C"/>
    <w:rsid w:val="00855E05"/>
    <w:rsid w:val="00856147"/>
    <w:rsid w:val="00860F40"/>
    <w:rsid w:val="008615C9"/>
    <w:rsid w:val="00864020"/>
    <w:rsid w:val="00864173"/>
    <w:rsid w:val="00871C0C"/>
    <w:rsid w:val="00873920"/>
    <w:rsid w:val="008979D5"/>
    <w:rsid w:val="008A2A8D"/>
    <w:rsid w:val="008A4C3B"/>
    <w:rsid w:val="008A56B3"/>
    <w:rsid w:val="008A639E"/>
    <w:rsid w:val="008B096E"/>
    <w:rsid w:val="008B2AD7"/>
    <w:rsid w:val="008C5F92"/>
    <w:rsid w:val="008C6376"/>
    <w:rsid w:val="008C7BE2"/>
    <w:rsid w:val="008D6B7E"/>
    <w:rsid w:val="008D7586"/>
    <w:rsid w:val="008D7845"/>
    <w:rsid w:val="008E79C8"/>
    <w:rsid w:val="008F0686"/>
    <w:rsid w:val="008F142B"/>
    <w:rsid w:val="008F1838"/>
    <w:rsid w:val="008F5D89"/>
    <w:rsid w:val="008F7649"/>
    <w:rsid w:val="009031EA"/>
    <w:rsid w:val="009138F9"/>
    <w:rsid w:val="0092054F"/>
    <w:rsid w:val="00923B23"/>
    <w:rsid w:val="009255BD"/>
    <w:rsid w:val="00937ED0"/>
    <w:rsid w:val="00944DA7"/>
    <w:rsid w:val="00952797"/>
    <w:rsid w:val="00956637"/>
    <w:rsid w:val="009737ED"/>
    <w:rsid w:val="0097449E"/>
    <w:rsid w:val="009777D3"/>
    <w:rsid w:val="00984E15"/>
    <w:rsid w:val="009859E6"/>
    <w:rsid w:val="00990952"/>
    <w:rsid w:val="0099797D"/>
    <w:rsid w:val="009A0A5D"/>
    <w:rsid w:val="009A7957"/>
    <w:rsid w:val="009C3EEA"/>
    <w:rsid w:val="009C6933"/>
    <w:rsid w:val="009C7445"/>
    <w:rsid w:val="009D0759"/>
    <w:rsid w:val="009E08DD"/>
    <w:rsid w:val="009E4D57"/>
    <w:rsid w:val="009F3F6B"/>
    <w:rsid w:val="009F7BC2"/>
    <w:rsid w:val="00A04C7A"/>
    <w:rsid w:val="00A058E5"/>
    <w:rsid w:val="00A0699D"/>
    <w:rsid w:val="00A10C1A"/>
    <w:rsid w:val="00A10F51"/>
    <w:rsid w:val="00A13A8C"/>
    <w:rsid w:val="00A2072E"/>
    <w:rsid w:val="00A224D8"/>
    <w:rsid w:val="00A237BB"/>
    <w:rsid w:val="00A34EA3"/>
    <w:rsid w:val="00A41D89"/>
    <w:rsid w:val="00A44A9E"/>
    <w:rsid w:val="00A458ED"/>
    <w:rsid w:val="00A479D2"/>
    <w:rsid w:val="00A509AB"/>
    <w:rsid w:val="00A5494C"/>
    <w:rsid w:val="00A63991"/>
    <w:rsid w:val="00A6681D"/>
    <w:rsid w:val="00A76BFC"/>
    <w:rsid w:val="00A802C1"/>
    <w:rsid w:val="00A82078"/>
    <w:rsid w:val="00A838C8"/>
    <w:rsid w:val="00A86D88"/>
    <w:rsid w:val="00A91C42"/>
    <w:rsid w:val="00A91ED9"/>
    <w:rsid w:val="00A9516B"/>
    <w:rsid w:val="00A96861"/>
    <w:rsid w:val="00A9780A"/>
    <w:rsid w:val="00AA00AF"/>
    <w:rsid w:val="00AA2FC9"/>
    <w:rsid w:val="00AA5317"/>
    <w:rsid w:val="00AA63F1"/>
    <w:rsid w:val="00AB01D6"/>
    <w:rsid w:val="00AB283D"/>
    <w:rsid w:val="00AB3A62"/>
    <w:rsid w:val="00AB41D8"/>
    <w:rsid w:val="00AC663C"/>
    <w:rsid w:val="00AC682E"/>
    <w:rsid w:val="00AC7A17"/>
    <w:rsid w:val="00AD312E"/>
    <w:rsid w:val="00AE3EAF"/>
    <w:rsid w:val="00AF54F8"/>
    <w:rsid w:val="00B024B0"/>
    <w:rsid w:val="00B104B9"/>
    <w:rsid w:val="00B10A8A"/>
    <w:rsid w:val="00B14866"/>
    <w:rsid w:val="00B1527A"/>
    <w:rsid w:val="00B169C7"/>
    <w:rsid w:val="00B34EDA"/>
    <w:rsid w:val="00B35A87"/>
    <w:rsid w:val="00B465D2"/>
    <w:rsid w:val="00B50797"/>
    <w:rsid w:val="00B51241"/>
    <w:rsid w:val="00B51748"/>
    <w:rsid w:val="00B57198"/>
    <w:rsid w:val="00B66781"/>
    <w:rsid w:val="00B67B97"/>
    <w:rsid w:val="00B72A8B"/>
    <w:rsid w:val="00B85023"/>
    <w:rsid w:val="00BA1216"/>
    <w:rsid w:val="00BA2456"/>
    <w:rsid w:val="00BA469B"/>
    <w:rsid w:val="00BB4A5B"/>
    <w:rsid w:val="00BB7249"/>
    <w:rsid w:val="00BC1CBC"/>
    <w:rsid w:val="00BE48FD"/>
    <w:rsid w:val="00BF2534"/>
    <w:rsid w:val="00BF2880"/>
    <w:rsid w:val="00BF79DC"/>
    <w:rsid w:val="00C0009B"/>
    <w:rsid w:val="00C00B73"/>
    <w:rsid w:val="00C019E3"/>
    <w:rsid w:val="00C05728"/>
    <w:rsid w:val="00C2594A"/>
    <w:rsid w:val="00C35DE1"/>
    <w:rsid w:val="00C3795C"/>
    <w:rsid w:val="00C524AA"/>
    <w:rsid w:val="00C528C4"/>
    <w:rsid w:val="00C54689"/>
    <w:rsid w:val="00C7035B"/>
    <w:rsid w:val="00C7505B"/>
    <w:rsid w:val="00C81590"/>
    <w:rsid w:val="00C81B3A"/>
    <w:rsid w:val="00C84AE0"/>
    <w:rsid w:val="00C85A14"/>
    <w:rsid w:val="00C90915"/>
    <w:rsid w:val="00C9339C"/>
    <w:rsid w:val="00CA3F84"/>
    <w:rsid w:val="00CB05D2"/>
    <w:rsid w:val="00CB2B3D"/>
    <w:rsid w:val="00CB6C08"/>
    <w:rsid w:val="00CC6E74"/>
    <w:rsid w:val="00CD0DCA"/>
    <w:rsid w:val="00CE5855"/>
    <w:rsid w:val="00CF4E52"/>
    <w:rsid w:val="00D00A9B"/>
    <w:rsid w:val="00D12F61"/>
    <w:rsid w:val="00D201C6"/>
    <w:rsid w:val="00D24784"/>
    <w:rsid w:val="00D34A5F"/>
    <w:rsid w:val="00D476D0"/>
    <w:rsid w:val="00D544E0"/>
    <w:rsid w:val="00D638E0"/>
    <w:rsid w:val="00D65016"/>
    <w:rsid w:val="00D716BA"/>
    <w:rsid w:val="00D720FF"/>
    <w:rsid w:val="00D73E3F"/>
    <w:rsid w:val="00D82C00"/>
    <w:rsid w:val="00D83C90"/>
    <w:rsid w:val="00D8404D"/>
    <w:rsid w:val="00D8587E"/>
    <w:rsid w:val="00D87C12"/>
    <w:rsid w:val="00D94382"/>
    <w:rsid w:val="00DB05EB"/>
    <w:rsid w:val="00DB191A"/>
    <w:rsid w:val="00DC2952"/>
    <w:rsid w:val="00DC3FB8"/>
    <w:rsid w:val="00DE1971"/>
    <w:rsid w:val="00DF1AB7"/>
    <w:rsid w:val="00DF5A3F"/>
    <w:rsid w:val="00E0034B"/>
    <w:rsid w:val="00E00832"/>
    <w:rsid w:val="00E034EB"/>
    <w:rsid w:val="00E07C02"/>
    <w:rsid w:val="00E10472"/>
    <w:rsid w:val="00E11540"/>
    <w:rsid w:val="00E12B06"/>
    <w:rsid w:val="00E15BF6"/>
    <w:rsid w:val="00E355B1"/>
    <w:rsid w:val="00E426DD"/>
    <w:rsid w:val="00E44095"/>
    <w:rsid w:val="00E4514A"/>
    <w:rsid w:val="00E513E6"/>
    <w:rsid w:val="00E54005"/>
    <w:rsid w:val="00E71CB9"/>
    <w:rsid w:val="00E73698"/>
    <w:rsid w:val="00E75E13"/>
    <w:rsid w:val="00E77E23"/>
    <w:rsid w:val="00E8251C"/>
    <w:rsid w:val="00E844A0"/>
    <w:rsid w:val="00E862B8"/>
    <w:rsid w:val="00EA248E"/>
    <w:rsid w:val="00EA5BF6"/>
    <w:rsid w:val="00EB3AD3"/>
    <w:rsid w:val="00EB7634"/>
    <w:rsid w:val="00EC1A17"/>
    <w:rsid w:val="00ED2159"/>
    <w:rsid w:val="00EE4C51"/>
    <w:rsid w:val="00EE509E"/>
    <w:rsid w:val="00EE5945"/>
    <w:rsid w:val="00EE5C45"/>
    <w:rsid w:val="00F01E44"/>
    <w:rsid w:val="00F13ED2"/>
    <w:rsid w:val="00F15E84"/>
    <w:rsid w:val="00F17D96"/>
    <w:rsid w:val="00F27ACB"/>
    <w:rsid w:val="00F3616F"/>
    <w:rsid w:val="00F40047"/>
    <w:rsid w:val="00F51506"/>
    <w:rsid w:val="00F54900"/>
    <w:rsid w:val="00F6418D"/>
    <w:rsid w:val="00F6618F"/>
    <w:rsid w:val="00F70DD5"/>
    <w:rsid w:val="00F73165"/>
    <w:rsid w:val="00F74396"/>
    <w:rsid w:val="00F76B61"/>
    <w:rsid w:val="00F80A86"/>
    <w:rsid w:val="00F85C24"/>
    <w:rsid w:val="00F90BCE"/>
    <w:rsid w:val="00F90C3D"/>
    <w:rsid w:val="00FC2881"/>
    <w:rsid w:val="00FC3B82"/>
    <w:rsid w:val="00FC44D5"/>
    <w:rsid w:val="00FD7DB5"/>
    <w:rsid w:val="00FD7D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14580C28-F367-4801-9C77-3726B0F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4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1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4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5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2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3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6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6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qFormat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7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6C6C13"/>
    <w:pPr>
      <w:spacing w:after="200"/>
    </w:pPr>
    <w:rPr>
      <w:rFonts w:eastAsia="Cambria" w:cs="Times New Roman"/>
      <w:bCs w:val="0"/>
      <w:kern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01D6"/>
    <w:pPr>
      <w:spacing w:before="0" w:after="0"/>
    </w:pPr>
    <w:rPr>
      <w:rFonts w:eastAsiaTheme="minorHAnsi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01D6"/>
    <w:rPr>
      <w:rFonts w:eastAsiaTheme="minorHAnsi" w:cs="Arial"/>
    </w:rPr>
  </w:style>
  <w:style w:type="paragraph" w:customStyle="1" w:styleId="AHPRANumberedlistlevel2">
    <w:name w:val="AHPRA Numbered list level 2"/>
    <w:basedOn w:val="AHPRANumberedlistlevel1"/>
    <w:rsid w:val="00DE1971"/>
    <w:pPr>
      <w:numPr>
        <w:ilvl w:val="1"/>
      </w:numPr>
    </w:pPr>
  </w:style>
  <w:style w:type="paragraph" w:customStyle="1" w:styleId="AHPRANumberedlistlevel1">
    <w:name w:val="AHPRA Numbered list level 1"/>
    <w:basedOn w:val="AHPRABulletlevel1"/>
    <w:qFormat/>
    <w:rsid w:val="00DE1971"/>
    <w:pPr>
      <w:numPr>
        <w:numId w:val="23"/>
      </w:numPr>
    </w:pPr>
  </w:style>
  <w:style w:type="paragraph" w:customStyle="1" w:styleId="AHPRANumberedlistlevel3">
    <w:name w:val="AHPRA Numbered list level 3"/>
    <w:basedOn w:val="AHPRANumberedlistlevel1"/>
    <w:rsid w:val="00DE197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News/2016-07-22-call-for-applications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teopathyboard.gov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E3F1-ECCF-42E4-A4BA-8FA70A44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Osteopathy Board of Australia</vt:lpstr>
    </vt:vector>
  </TitlesOfParts>
  <Company>Johanna Villani Design</Company>
  <LinksUpToDate>false</LinksUpToDate>
  <CharactersWithSpaces>3097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Osteopathy Board of Australia</dc:title>
  <dc:subject>Communique</dc:subject>
  <dc:creator>Osteopathy Board</dc:creator>
  <cp:keywords>28 July 2016</cp:keywords>
  <cp:lastModifiedBy>Tara Johnson</cp:lastModifiedBy>
  <cp:revision>3</cp:revision>
  <cp:lastPrinted>2016-08-08T03:04:00Z</cp:lastPrinted>
  <dcterms:created xsi:type="dcterms:W3CDTF">2016-08-08T03:04:00Z</dcterms:created>
  <dcterms:modified xsi:type="dcterms:W3CDTF">2016-08-08T03:04:00Z</dcterms:modified>
</cp:coreProperties>
</file>