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bookmarkStart w:id="0" w:name="_GoBack"/>
      <w:bookmarkEnd w:id="0"/>
      <w:r>
        <w:rPr>
          <w:noProof/>
          <w:lang w:val="en-US"/>
        </w:rPr>
        <w:t>Communiqué</w:t>
      </w:r>
    </w:p>
    <w:p w:rsidR="009138F9" w:rsidRDefault="00A9557C" w:rsidP="000E29C2">
      <w:pPr>
        <w:spacing w:line="36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2.95pt;margin-top:2pt;width:160.3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"/>
        </w:pict>
      </w:r>
    </w:p>
    <w:p w:rsidR="00622247" w:rsidRDefault="00855E05" w:rsidP="00984E15">
      <w:pPr>
        <w:pStyle w:val="AHPRADocumentsubheading"/>
      </w:pPr>
      <w:r>
        <w:t>May</w:t>
      </w:r>
      <w:r w:rsidR="00C7035B">
        <w:t xml:space="preserve"> 201</w:t>
      </w:r>
      <w:r w:rsidR="003D685C">
        <w:t>6</w:t>
      </w:r>
      <w:r w:rsidR="00984E15" w:rsidRPr="00984E15">
        <w:t xml:space="preserve"> meeting of the Osteopathy Board of Australia</w:t>
      </w:r>
    </w:p>
    <w:p w:rsidR="00312836" w:rsidRDefault="00984E15">
      <w:pPr>
        <w:pStyle w:val="AHPRABody0"/>
      </w:pPr>
      <w:r>
        <w:rPr>
          <w:color w:val="000000"/>
        </w:rPr>
        <w:t xml:space="preserve">The </w:t>
      </w:r>
      <w:r w:rsidR="00A802C1">
        <w:rPr>
          <w:color w:val="000000"/>
        </w:rPr>
        <w:t>7</w:t>
      </w:r>
      <w:r w:rsidR="00855E05">
        <w:rPr>
          <w:color w:val="000000"/>
        </w:rPr>
        <w:t>9</w:t>
      </w:r>
      <w:r w:rsidR="007F61FC" w:rsidRPr="007F61FC">
        <w:rPr>
          <w:color w:val="000000"/>
          <w:vertAlign w:val="superscript"/>
        </w:rPr>
        <w:t>th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855E05">
        <w:rPr>
          <w:lang w:val="en-GB"/>
        </w:rPr>
        <w:t>26 May</w:t>
      </w:r>
      <w:r w:rsidR="00956637">
        <w:rPr>
          <w:lang w:val="en-GB"/>
        </w:rPr>
        <w:t xml:space="preserve"> 2016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  <w:r w:rsidR="00956637">
        <w:t xml:space="preserve"> </w:t>
      </w:r>
    </w:p>
    <w:p w:rsidR="00956637" w:rsidRDefault="00956637">
      <w:pPr>
        <w:pStyle w:val="AHPRABody0"/>
      </w:pPr>
    </w:p>
    <w:p w:rsidR="00956637" w:rsidRDefault="00956637">
      <w:pPr>
        <w:pStyle w:val="AHPRABody0"/>
      </w:pPr>
      <w:r>
        <w:t xml:space="preserve">The whole Board meets as the Registration and Notification Committee (RNC) </w:t>
      </w:r>
      <w:r w:rsidR="00A5494C">
        <w:t>on the same day as the Board meetings</w:t>
      </w:r>
      <w:r>
        <w:t xml:space="preserve"> to consider registration and notification (complaint) matters.</w:t>
      </w:r>
    </w:p>
    <w:p w:rsidR="00A5494C" w:rsidRDefault="00A5494C">
      <w:pPr>
        <w:pStyle w:val="AHPRABody0"/>
      </w:pPr>
    </w:p>
    <w:p w:rsidR="00956637" w:rsidRPr="007364F6" w:rsidRDefault="0041096D" w:rsidP="00956637">
      <w:pPr>
        <w:pStyle w:val="AHPRASubhead"/>
        <w:rPr>
          <w:rFonts w:cs="Arial"/>
          <w:color w:val="auto"/>
        </w:rPr>
      </w:pPr>
      <w:r>
        <w:rPr>
          <w:lang w:eastAsia="en-AU"/>
        </w:rPr>
        <w:t>Webinar</w:t>
      </w:r>
      <w:r w:rsidR="00871C0C">
        <w:rPr>
          <w:lang w:eastAsia="en-AU"/>
        </w:rPr>
        <w:t xml:space="preserve"> </w:t>
      </w:r>
      <w:r w:rsidR="00855E05">
        <w:rPr>
          <w:lang w:eastAsia="en-AU"/>
        </w:rPr>
        <w:t>transcript</w:t>
      </w:r>
      <w:r w:rsidR="00871C0C">
        <w:rPr>
          <w:lang w:eastAsia="en-AU"/>
        </w:rPr>
        <w:t xml:space="preserve"> – PII changes and CPD audit</w:t>
      </w:r>
    </w:p>
    <w:p w:rsidR="00E355B1" w:rsidRPr="0041096D" w:rsidRDefault="00855E05" w:rsidP="00855E05">
      <w:pPr>
        <w:pStyle w:val="AHPRAbody"/>
        <w:rPr>
          <w:szCs w:val="20"/>
        </w:rPr>
      </w:pPr>
      <w:r>
        <w:rPr>
          <w:szCs w:val="20"/>
        </w:rPr>
        <w:t xml:space="preserve">For those who could not attend the Board’s recent </w:t>
      </w:r>
      <w:r w:rsidR="0041096D" w:rsidRPr="0041096D">
        <w:rPr>
          <w:szCs w:val="20"/>
        </w:rPr>
        <w:t>webinar for registrants on 5 May 2016</w:t>
      </w:r>
      <w:r>
        <w:rPr>
          <w:szCs w:val="20"/>
        </w:rPr>
        <w:t xml:space="preserve">, there is now a recording and transcript available on the Board’s </w:t>
      </w:r>
      <w:hyperlink r:id="rId8" w:history="1">
        <w:r w:rsidRPr="00F74396">
          <w:rPr>
            <w:rStyle w:val="Hyperlink"/>
            <w:szCs w:val="20"/>
          </w:rPr>
          <w:t>website</w:t>
        </w:r>
      </w:hyperlink>
      <w:r>
        <w:rPr>
          <w:szCs w:val="20"/>
        </w:rPr>
        <w:t>. The webinar covered</w:t>
      </w:r>
      <w:r w:rsidR="0041096D" w:rsidRPr="0041096D">
        <w:rPr>
          <w:szCs w:val="20"/>
        </w:rPr>
        <w:t xml:space="preserve"> the changes to the </w:t>
      </w:r>
      <w:r w:rsidR="000307A9" w:rsidRPr="000307A9">
        <w:rPr>
          <w:i/>
          <w:szCs w:val="20"/>
        </w:rPr>
        <w:t>Professional indemnity insurance (PII) arrangements registration standard</w:t>
      </w:r>
      <w:r w:rsidR="0041096D">
        <w:rPr>
          <w:szCs w:val="20"/>
        </w:rPr>
        <w:t xml:space="preserve"> </w:t>
      </w:r>
      <w:r w:rsidR="00EA5BF6">
        <w:rPr>
          <w:szCs w:val="20"/>
        </w:rPr>
        <w:t xml:space="preserve">from 1 July 2016, </w:t>
      </w:r>
      <w:r w:rsidR="0041096D">
        <w:rPr>
          <w:szCs w:val="20"/>
        </w:rPr>
        <w:t xml:space="preserve">and the current continuing professional development (CPD) audit. </w:t>
      </w:r>
    </w:p>
    <w:p w:rsidR="00DB05EB" w:rsidRPr="007364F6" w:rsidRDefault="00871C0C" w:rsidP="00DB05EB">
      <w:pPr>
        <w:pStyle w:val="AHPRASubhead"/>
        <w:rPr>
          <w:rFonts w:cs="Arial"/>
          <w:color w:val="auto"/>
        </w:rPr>
      </w:pPr>
      <w:r>
        <w:rPr>
          <w:lang w:eastAsia="en-AU"/>
        </w:rPr>
        <w:t>Osteopathy Board vacancy</w:t>
      </w:r>
    </w:p>
    <w:p w:rsidR="00871C0C" w:rsidRDefault="00871C0C" w:rsidP="00871C0C">
      <w:pPr>
        <w:pStyle w:val="AHPRAbody"/>
      </w:pPr>
      <w:r>
        <w:t>A vacancy for a practitioner member from a small jurisdiction (Tasmania</w:t>
      </w:r>
      <w:r w:rsidR="005D6959">
        <w:t>,</w:t>
      </w:r>
      <w:r>
        <w:t xml:space="preserve"> the ACT or the N</w:t>
      </w:r>
      <w:r w:rsidR="005D6959">
        <w:t xml:space="preserve">orthern </w:t>
      </w:r>
      <w:r>
        <w:t>T</w:t>
      </w:r>
      <w:r w:rsidR="005D6959">
        <w:t>erritory</w:t>
      </w:r>
      <w:r>
        <w:t xml:space="preserve">) </w:t>
      </w:r>
      <w:r w:rsidR="00855E05">
        <w:t>is currently advertised</w:t>
      </w:r>
      <w:r w:rsidR="00F74396">
        <w:t xml:space="preserve"> due to the forthcoming expiry of a</w:t>
      </w:r>
      <w:r w:rsidR="00D24784">
        <w:t xml:space="preserve"> member’s</w:t>
      </w:r>
      <w:r w:rsidR="00F74396">
        <w:t xml:space="preserve"> three-year term</w:t>
      </w:r>
      <w:r>
        <w:t xml:space="preserve">. </w:t>
      </w:r>
    </w:p>
    <w:p w:rsidR="00871C0C" w:rsidRDefault="00871C0C" w:rsidP="00871C0C">
      <w:pPr>
        <w:pStyle w:val="AHPRAbody"/>
      </w:pPr>
      <w:r>
        <w:t xml:space="preserve">All National Board appointments are made by the Australian Health Workforce Ministerial Council. If you are interested, please </w:t>
      </w:r>
      <w:r w:rsidR="00855E05">
        <w:t>go to the ‘</w:t>
      </w:r>
      <w:hyperlink r:id="rId9" w:history="1">
        <w:r w:rsidR="00855E05" w:rsidRPr="00855E05">
          <w:rPr>
            <w:rStyle w:val="Hyperlink"/>
          </w:rPr>
          <w:t>Call for applications’</w:t>
        </w:r>
      </w:hyperlink>
      <w:r w:rsidR="00855E05">
        <w:t xml:space="preserve"> </w:t>
      </w:r>
      <w:r w:rsidR="00F74396">
        <w:t>news item</w:t>
      </w:r>
      <w:r w:rsidR="00855E05">
        <w:t xml:space="preserve"> </w:t>
      </w:r>
      <w:r>
        <w:t xml:space="preserve">on </w:t>
      </w:r>
      <w:r w:rsidR="00855E05">
        <w:t>the Board’s</w:t>
      </w:r>
      <w:r>
        <w:t xml:space="preserve"> website.</w:t>
      </w:r>
      <w:r w:rsidR="00855E05">
        <w:t xml:space="preserve"> Applications close on </w:t>
      </w:r>
      <w:r w:rsidR="00855E05" w:rsidRPr="00F74396">
        <w:rPr>
          <w:b/>
        </w:rPr>
        <w:t>20 June 2016</w:t>
      </w:r>
      <w:r>
        <w:t>.</w:t>
      </w:r>
    </w:p>
    <w:p w:rsidR="00855E05" w:rsidRPr="00BF5B32" w:rsidRDefault="00855E05" w:rsidP="00855E05">
      <w:pPr>
        <w:pStyle w:val="Default"/>
        <w:spacing w:after="200"/>
        <w:rPr>
          <w:b/>
          <w:bCs/>
          <w:color w:val="008EC4"/>
          <w:sz w:val="20"/>
          <w:szCs w:val="20"/>
        </w:rPr>
      </w:pPr>
      <w:r>
        <w:rPr>
          <w:b/>
          <w:bCs/>
          <w:color w:val="008EC4"/>
          <w:sz w:val="20"/>
          <w:szCs w:val="20"/>
        </w:rPr>
        <w:t xml:space="preserve">Health </w:t>
      </w:r>
      <w:r w:rsidR="00D24784">
        <w:rPr>
          <w:b/>
          <w:bCs/>
          <w:color w:val="008EC4"/>
          <w:sz w:val="20"/>
          <w:szCs w:val="20"/>
        </w:rPr>
        <w:t>p</w:t>
      </w:r>
      <w:r>
        <w:rPr>
          <w:b/>
          <w:bCs/>
          <w:color w:val="008EC4"/>
          <w:sz w:val="20"/>
          <w:szCs w:val="20"/>
        </w:rPr>
        <w:t xml:space="preserve">rofession </w:t>
      </w:r>
      <w:r w:rsidR="00D24784">
        <w:rPr>
          <w:b/>
          <w:bCs/>
          <w:color w:val="008EC4"/>
          <w:sz w:val="20"/>
          <w:szCs w:val="20"/>
        </w:rPr>
        <w:t>a</w:t>
      </w:r>
      <w:r>
        <w:rPr>
          <w:b/>
          <w:bCs/>
          <w:color w:val="008EC4"/>
          <w:sz w:val="20"/>
          <w:szCs w:val="20"/>
        </w:rPr>
        <w:t>greement and fees</w:t>
      </w:r>
    </w:p>
    <w:p w:rsidR="00855E05" w:rsidRPr="00374277" w:rsidRDefault="00855E05" w:rsidP="00855E05">
      <w:pPr>
        <w:pStyle w:val="AHPRAbody"/>
        <w:spacing w:after="120"/>
        <w:rPr>
          <w:szCs w:val="20"/>
        </w:rPr>
      </w:pPr>
      <w:r w:rsidRPr="00374277">
        <w:rPr>
          <w:szCs w:val="20"/>
        </w:rPr>
        <w:t xml:space="preserve">The </w:t>
      </w:r>
      <w:r w:rsidR="00D24784">
        <w:rPr>
          <w:szCs w:val="20"/>
        </w:rPr>
        <w:t>h</w:t>
      </w:r>
      <w:r w:rsidRPr="00374277">
        <w:rPr>
          <w:szCs w:val="20"/>
        </w:rPr>
        <w:t xml:space="preserve">ealth </w:t>
      </w:r>
      <w:r w:rsidR="00D24784">
        <w:rPr>
          <w:szCs w:val="20"/>
        </w:rPr>
        <w:t>p</w:t>
      </w:r>
      <w:r w:rsidRPr="00374277">
        <w:rPr>
          <w:szCs w:val="20"/>
        </w:rPr>
        <w:t xml:space="preserve">rofession </w:t>
      </w:r>
      <w:r w:rsidR="00D24784">
        <w:rPr>
          <w:szCs w:val="20"/>
        </w:rPr>
        <w:t>a</w:t>
      </w:r>
      <w:r w:rsidRPr="00374277">
        <w:rPr>
          <w:szCs w:val="20"/>
        </w:rPr>
        <w:t xml:space="preserve">greement between the Board and </w:t>
      </w:r>
      <w:r w:rsidR="00D24784">
        <w:rPr>
          <w:szCs w:val="20"/>
        </w:rPr>
        <w:t>the Australian Health Practitioner Regulation Agency (</w:t>
      </w:r>
      <w:r w:rsidRPr="00374277">
        <w:rPr>
          <w:szCs w:val="20"/>
        </w:rPr>
        <w:t>AHPRA</w:t>
      </w:r>
      <w:r w:rsidR="00D24784">
        <w:rPr>
          <w:szCs w:val="20"/>
        </w:rPr>
        <w:t>)</w:t>
      </w:r>
      <w:r w:rsidRPr="00374277">
        <w:rPr>
          <w:szCs w:val="20"/>
        </w:rPr>
        <w:t xml:space="preserve"> is being finalised and will be published on the </w:t>
      </w:r>
      <w:r>
        <w:rPr>
          <w:szCs w:val="20"/>
        </w:rPr>
        <w:t xml:space="preserve">Board’s </w:t>
      </w:r>
      <w:r w:rsidRPr="00374277">
        <w:rPr>
          <w:szCs w:val="20"/>
        </w:rPr>
        <w:t>website s</w:t>
      </w:r>
      <w:r w:rsidR="00D24784">
        <w:rPr>
          <w:szCs w:val="20"/>
        </w:rPr>
        <w:t>oon</w:t>
      </w:r>
      <w:r w:rsidRPr="00374277">
        <w:rPr>
          <w:szCs w:val="20"/>
        </w:rPr>
        <w:t xml:space="preserve">. It sets out the services </w:t>
      </w:r>
      <w:r>
        <w:rPr>
          <w:szCs w:val="20"/>
        </w:rPr>
        <w:t xml:space="preserve">that </w:t>
      </w:r>
      <w:r w:rsidRPr="00374277">
        <w:rPr>
          <w:szCs w:val="20"/>
        </w:rPr>
        <w:t xml:space="preserve">AHPRA will provide to support the Board to regulate </w:t>
      </w:r>
      <w:r>
        <w:rPr>
          <w:szCs w:val="20"/>
        </w:rPr>
        <w:t>osteopaths</w:t>
      </w:r>
      <w:r w:rsidRPr="00374277">
        <w:rPr>
          <w:szCs w:val="20"/>
        </w:rPr>
        <w:t xml:space="preserve">. The </w:t>
      </w:r>
      <w:r w:rsidR="00D24784">
        <w:rPr>
          <w:szCs w:val="20"/>
        </w:rPr>
        <w:t xml:space="preserve">agreement includes </w:t>
      </w:r>
      <w:r w:rsidRPr="00374277">
        <w:rPr>
          <w:szCs w:val="20"/>
        </w:rPr>
        <w:t>information about the Board’s financial operations and fees.</w:t>
      </w:r>
    </w:p>
    <w:p w:rsidR="00956637" w:rsidRDefault="00956637" w:rsidP="00956637">
      <w:pPr>
        <w:pStyle w:val="AHPRASubhead"/>
      </w:pPr>
      <w:r w:rsidRPr="00AC2FCD">
        <w:t>Follow @AHPRA on Twitter</w:t>
      </w:r>
    </w:p>
    <w:p w:rsidR="00956637" w:rsidRPr="00AC2FCD" w:rsidRDefault="00956637" w:rsidP="00956637">
      <w:pPr>
        <w:pStyle w:val="AHPRAbody"/>
      </w:pPr>
      <w:r w:rsidRPr="00AC2FCD">
        <w:t xml:space="preserve">AHPRA uses </w:t>
      </w:r>
      <w:hyperlink r:id="rId10" w:history="1">
        <w:r w:rsidRPr="00076565">
          <w:rPr>
            <w:rStyle w:val="Hyperlink"/>
          </w:rPr>
          <w:t>Twitter</w:t>
        </w:r>
      </w:hyperlink>
      <w:r w:rsidRPr="00AC2FCD">
        <w:t xml:space="preserve"> to encourage greater discussion about National Board consultations and to host regular Twitter chats on important topics.</w:t>
      </w:r>
      <w:r>
        <w:t xml:space="preserve"> 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1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312836" w:rsidRDefault="00855E05">
      <w:pPr>
        <w:pStyle w:val="AHPRABody0"/>
      </w:pPr>
      <w:r>
        <w:rPr>
          <w:lang w:val="en-US"/>
        </w:rPr>
        <w:t xml:space="preserve">31 </w:t>
      </w:r>
      <w:r w:rsidR="0041096D">
        <w:rPr>
          <w:lang w:val="en-US"/>
        </w:rPr>
        <w:t>May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96" w:rsidRDefault="00F74396" w:rsidP="008A56B3">
      <w:r>
        <w:separator/>
      </w:r>
    </w:p>
    <w:p w:rsidR="00F74396" w:rsidRDefault="00F74396" w:rsidP="008A56B3"/>
  </w:endnote>
  <w:endnote w:type="continuationSeparator" w:id="0">
    <w:p w:rsidR="00F74396" w:rsidRDefault="00F74396" w:rsidP="008A56B3">
      <w:r>
        <w:continuationSeparator/>
      </w:r>
    </w:p>
    <w:p w:rsidR="00F74396" w:rsidRDefault="00F74396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96" w:rsidRDefault="000307A9" w:rsidP="008A56B3">
    <w:pPr>
      <w:pStyle w:val="AHPRAfootnote"/>
    </w:pPr>
    <w:r>
      <w:fldChar w:fldCharType="begin"/>
    </w:r>
    <w:r w:rsidR="00F74396">
      <w:instrText xml:space="preserve">PAGE  </w:instrText>
    </w:r>
    <w:r>
      <w:fldChar w:fldCharType="end"/>
    </w:r>
  </w:p>
  <w:p w:rsidR="00F74396" w:rsidRDefault="00F74396" w:rsidP="008A56B3">
    <w:pPr>
      <w:pStyle w:val="AHPRAfootnote"/>
    </w:pPr>
  </w:p>
  <w:p w:rsidR="00F74396" w:rsidRDefault="00F74396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96" w:rsidRPr="000E7E28" w:rsidRDefault="00A9557C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F74396">
          <w:tab/>
        </w:r>
        <w:r w:rsidR="00F74396">
          <w:tab/>
        </w:r>
        <w:r w:rsidR="00F74396" w:rsidRPr="000E7E28">
          <w:t xml:space="preserve">Page </w:t>
        </w:r>
        <w:r w:rsidR="000307A9">
          <w:fldChar w:fldCharType="begin"/>
        </w:r>
        <w:r w:rsidR="00F74396">
          <w:instrText xml:space="preserve"> PAGE </w:instrText>
        </w:r>
        <w:r w:rsidR="000307A9">
          <w:fldChar w:fldCharType="separate"/>
        </w:r>
        <w:r w:rsidR="00F74396">
          <w:rPr>
            <w:noProof/>
          </w:rPr>
          <w:t>2</w:t>
        </w:r>
        <w:r w:rsidR="000307A9">
          <w:rPr>
            <w:noProof/>
          </w:rPr>
          <w:fldChar w:fldCharType="end"/>
        </w:r>
        <w:r w:rsidR="00F74396" w:rsidRPr="000E7E28">
          <w:t xml:space="preserve"> of </w:t>
        </w:r>
        <w:r w:rsidR="000307A9">
          <w:fldChar w:fldCharType="begin"/>
        </w:r>
        <w:r w:rsidR="00F74396">
          <w:instrText xml:space="preserve"> NUMPAGES  </w:instrText>
        </w:r>
        <w:r w:rsidR="000307A9">
          <w:fldChar w:fldCharType="separate"/>
        </w:r>
        <w:r>
          <w:rPr>
            <w:noProof/>
          </w:rPr>
          <w:t>1</w:t>
        </w:r>
        <w:r w:rsidR="000307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96" w:rsidRDefault="00F74396" w:rsidP="008A56B3">
      <w:r>
        <w:separator/>
      </w:r>
    </w:p>
  </w:footnote>
  <w:footnote w:type="continuationSeparator" w:id="0">
    <w:p w:rsidR="00F74396" w:rsidRDefault="00F74396" w:rsidP="008A56B3">
      <w:r>
        <w:continuationSeparator/>
      </w:r>
    </w:p>
    <w:p w:rsidR="00F74396" w:rsidRDefault="00F74396" w:rsidP="008A56B3"/>
  </w:footnote>
  <w:footnote w:type="continuationNotice" w:id="1">
    <w:p w:rsidR="00F74396" w:rsidRDefault="00F74396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96" w:rsidRPr="00315933" w:rsidRDefault="00F74396" w:rsidP="008A56B3"/>
  <w:p w:rsidR="00F74396" w:rsidRDefault="00F74396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96" w:rsidRDefault="00F74396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396" w:rsidRDefault="00F74396" w:rsidP="008A56B3"/>
  <w:p w:rsidR="00F74396" w:rsidRDefault="00F74396" w:rsidP="008A56B3"/>
  <w:p w:rsidR="00F74396" w:rsidRDefault="00F74396" w:rsidP="008A56B3"/>
  <w:p w:rsidR="00F74396" w:rsidRDefault="00F74396" w:rsidP="008A56B3"/>
  <w:p w:rsidR="00F74396" w:rsidRDefault="00F74396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17313"/>
    <w:multiLevelType w:val="hybridMultilevel"/>
    <w:tmpl w:val="F6C2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7C81"/>
    <w:multiLevelType w:val="multilevel"/>
    <w:tmpl w:val="7980C9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B3714"/>
    <w:multiLevelType w:val="multilevel"/>
    <w:tmpl w:val="C4183F12"/>
    <w:numStyleLink w:val="AHPRANumberedlist"/>
  </w:abstractNum>
  <w:abstractNum w:abstractNumId="16" w15:restartNumberingAfterBreak="0">
    <w:nsid w:val="414C52D6"/>
    <w:multiLevelType w:val="hybridMultilevel"/>
    <w:tmpl w:val="3404D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1EE3"/>
    <w:multiLevelType w:val="hybridMultilevel"/>
    <w:tmpl w:val="313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07A9"/>
    <w:rsid w:val="000334D7"/>
    <w:rsid w:val="00052BF3"/>
    <w:rsid w:val="000542EA"/>
    <w:rsid w:val="00061983"/>
    <w:rsid w:val="00061A94"/>
    <w:rsid w:val="00071439"/>
    <w:rsid w:val="00071D70"/>
    <w:rsid w:val="00082158"/>
    <w:rsid w:val="00082456"/>
    <w:rsid w:val="000945FB"/>
    <w:rsid w:val="000A076C"/>
    <w:rsid w:val="000A1543"/>
    <w:rsid w:val="000A6BF7"/>
    <w:rsid w:val="000C45EB"/>
    <w:rsid w:val="000D12D1"/>
    <w:rsid w:val="000E00BF"/>
    <w:rsid w:val="000E29C2"/>
    <w:rsid w:val="000E486F"/>
    <w:rsid w:val="000E6D3A"/>
    <w:rsid w:val="000E7E28"/>
    <w:rsid w:val="000F5D90"/>
    <w:rsid w:val="000F71FB"/>
    <w:rsid w:val="001004CD"/>
    <w:rsid w:val="0010139F"/>
    <w:rsid w:val="00107F83"/>
    <w:rsid w:val="0011487C"/>
    <w:rsid w:val="00131CE1"/>
    <w:rsid w:val="00136D16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36A1F"/>
    <w:rsid w:val="00240D52"/>
    <w:rsid w:val="00260EDF"/>
    <w:rsid w:val="00270394"/>
    <w:rsid w:val="0028013F"/>
    <w:rsid w:val="0028496C"/>
    <w:rsid w:val="00294EC4"/>
    <w:rsid w:val="00295B44"/>
    <w:rsid w:val="002A45B4"/>
    <w:rsid w:val="002A6406"/>
    <w:rsid w:val="002B2D48"/>
    <w:rsid w:val="002C08FB"/>
    <w:rsid w:val="002C27AE"/>
    <w:rsid w:val="002C34EA"/>
    <w:rsid w:val="002D0798"/>
    <w:rsid w:val="002D599C"/>
    <w:rsid w:val="002E1641"/>
    <w:rsid w:val="002F0FD7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1DE0"/>
    <w:rsid w:val="00373A35"/>
    <w:rsid w:val="00390068"/>
    <w:rsid w:val="00393516"/>
    <w:rsid w:val="003A38E9"/>
    <w:rsid w:val="003A4E0E"/>
    <w:rsid w:val="003B5E14"/>
    <w:rsid w:val="003C2E37"/>
    <w:rsid w:val="003D0B3C"/>
    <w:rsid w:val="003D0CDC"/>
    <w:rsid w:val="003D685C"/>
    <w:rsid w:val="003D6DBD"/>
    <w:rsid w:val="003E00B5"/>
    <w:rsid w:val="003E3268"/>
    <w:rsid w:val="003E6BB2"/>
    <w:rsid w:val="003F2F06"/>
    <w:rsid w:val="003F488F"/>
    <w:rsid w:val="003F714C"/>
    <w:rsid w:val="00405C0A"/>
    <w:rsid w:val="0041096D"/>
    <w:rsid w:val="00414AF0"/>
    <w:rsid w:val="00414F2C"/>
    <w:rsid w:val="00416F51"/>
    <w:rsid w:val="004240C4"/>
    <w:rsid w:val="00426DEC"/>
    <w:rsid w:val="00427CC4"/>
    <w:rsid w:val="00450B34"/>
    <w:rsid w:val="004606A7"/>
    <w:rsid w:val="004616BE"/>
    <w:rsid w:val="00462F0F"/>
    <w:rsid w:val="004671AD"/>
    <w:rsid w:val="00483DD1"/>
    <w:rsid w:val="004851D1"/>
    <w:rsid w:val="00491065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4F7F60"/>
    <w:rsid w:val="005056B4"/>
    <w:rsid w:val="00516EF2"/>
    <w:rsid w:val="00520AD6"/>
    <w:rsid w:val="00530BFF"/>
    <w:rsid w:val="00535184"/>
    <w:rsid w:val="0053749F"/>
    <w:rsid w:val="00541A2A"/>
    <w:rsid w:val="00546B56"/>
    <w:rsid w:val="005518A4"/>
    <w:rsid w:val="00551FD9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A507F"/>
    <w:rsid w:val="005A72A2"/>
    <w:rsid w:val="005B04F4"/>
    <w:rsid w:val="005B07E8"/>
    <w:rsid w:val="005C5932"/>
    <w:rsid w:val="005C6817"/>
    <w:rsid w:val="005D00FC"/>
    <w:rsid w:val="005D06D7"/>
    <w:rsid w:val="005D6959"/>
    <w:rsid w:val="005E0245"/>
    <w:rsid w:val="005F0741"/>
    <w:rsid w:val="005F393C"/>
    <w:rsid w:val="005F3941"/>
    <w:rsid w:val="005F6786"/>
    <w:rsid w:val="00607681"/>
    <w:rsid w:val="00616043"/>
    <w:rsid w:val="00620B28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B0F5E"/>
    <w:rsid w:val="006C0257"/>
    <w:rsid w:val="006C0E29"/>
    <w:rsid w:val="006C6C13"/>
    <w:rsid w:val="006C786E"/>
    <w:rsid w:val="006D1066"/>
    <w:rsid w:val="006D30FE"/>
    <w:rsid w:val="006D3757"/>
    <w:rsid w:val="006D45FD"/>
    <w:rsid w:val="006D6D35"/>
    <w:rsid w:val="006E19CD"/>
    <w:rsid w:val="006E6BBC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5638C"/>
    <w:rsid w:val="0076115C"/>
    <w:rsid w:val="00766393"/>
    <w:rsid w:val="007664F3"/>
    <w:rsid w:val="007840D7"/>
    <w:rsid w:val="00786108"/>
    <w:rsid w:val="007907EC"/>
    <w:rsid w:val="0079197C"/>
    <w:rsid w:val="007A35B9"/>
    <w:rsid w:val="007A4B2B"/>
    <w:rsid w:val="007B77D6"/>
    <w:rsid w:val="007C0B6E"/>
    <w:rsid w:val="007D4836"/>
    <w:rsid w:val="007E2331"/>
    <w:rsid w:val="007E2C84"/>
    <w:rsid w:val="007E3545"/>
    <w:rsid w:val="007F0095"/>
    <w:rsid w:val="007F61FC"/>
    <w:rsid w:val="00820D1A"/>
    <w:rsid w:val="008338F7"/>
    <w:rsid w:val="00836397"/>
    <w:rsid w:val="00845054"/>
    <w:rsid w:val="00852D1C"/>
    <w:rsid w:val="00855E05"/>
    <w:rsid w:val="00856147"/>
    <w:rsid w:val="00860F40"/>
    <w:rsid w:val="008615C9"/>
    <w:rsid w:val="00864020"/>
    <w:rsid w:val="00864173"/>
    <w:rsid w:val="00871C0C"/>
    <w:rsid w:val="00873920"/>
    <w:rsid w:val="008979D5"/>
    <w:rsid w:val="008A2A8D"/>
    <w:rsid w:val="008A4C3B"/>
    <w:rsid w:val="008A56B3"/>
    <w:rsid w:val="008B2AD7"/>
    <w:rsid w:val="008C5F92"/>
    <w:rsid w:val="008C6376"/>
    <w:rsid w:val="008C7BE2"/>
    <w:rsid w:val="008D6B7E"/>
    <w:rsid w:val="008D7586"/>
    <w:rsid w:val="008D7845"/>
    <w:rsid w:val="008E79C8"/>
    <w:rsid w:val="008F0686"/>
    <w:rsid w:val="008F142B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56637"/>
    <w:rsid w:val="009737ED"/>
    <w:rsid w:val="0097449E"/>
    <w:rsid w:val="009777D3"/>
    <w:rsid w:val="00984E15"/>
    <w:rsid w:val="009859E6"/>
    <w:rsid w:val="00990952"/>
    <w:rsid w:val="0099797D"/>
    <w:rsid w:val="009A0A5D"/>
    <w:rsid w:val="009A7957"/>
    <w:rsid w:val="009C3EEA"/>
    <w:rsid w:val="009C6933"/>
    <w:rsid w:val="009C7445"/>
    <w:rsid w:val="009D0759"/>
    <w:rsid w:val="009E08DD"/>
    <w:rsid w:val="009E4D57"/>
    <w:rsid w:val="009F3F6B"/>
    <w:rsid w:val="009F7BC2"/>
    <w:rsid w:val="00A04C7A"/>
    <w:rsid w:val="00A058E5"/>
    <w:rsid w:val="00A0699D"/>
    <w:rsid w:val="00A10C1A"/>
    <w:rsid w:val="00A10F51"/>
    <w:rsid w:val="00A13A8C"/>
    <w:rsid w:val="00A2072E"/>
    <w:rsid w:val="00A237BB"/>
    <w:rsid w:val="00A34EA3"/>
    <w:rsid w:val="00A41D89"/>
    <w:rsid w:val="00A44A9E"/>
    <w:rsid w:val="00A458ED"/>
    <w:rsid w:val="00A479D2"/>
    <w:rsid w:val="00A509AB"/>
    <w:rsid w:val="00A5494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557C"/>
    <w:rsid w:val="00A96861"/>
    <w:rsid w:val="00A9780A"/>
    <w:rsid w:val="00AA00AF"/>
    <w:rsid w:val="00AA2FC9"/>
    <w:rsid w:val="00AA5317"/>
    <w:rsid w:val="00AA63F1"/>
    <w:rsid w:val="00AB283D"/>
    <w:rsid w:val="00AB3A62"/>
    <w:rsid w:val="00AB41D8"/>
    <w:rsid w:val="00AC663C"/>
    <w:rsid w:val="00AC682E"/>
    <w:rsid w:val="00AD312E"/>
    <w:rsid w:val="00AE3EAF"/>
    <w:rsid w:val="00AF54F8"/>
    <w:rsid w:val="00B024B0"/>
    <w:rsid w:val="00B104B9"/>
    <w:rsid w:val="00B14866"/>
    <w:rsid w:val="00B1527A"/>
    <w:rsid w:val="00B169C7"/>
    <w:rsid w:val="00B34EDA"/>
    <w:rsid w:val="00B35A87"/>
    <w:rsid w:val="00B465D2"/>
    <w:rsid w:val="00B50797"/>
    <w:rsid w:val="00B51241"/>
    <w:rsid w:val="00B51748"/>
    <w:rsid w:val="00B57198"/>
    <w:rsid w:val="00B67B97"/>
    <w:rsid w:val="00B85023"/>
    <w:rsid w:val="00BA1216"/>
    <w:rsid w:val="00BA2456"/>
    <w:rsid w:val="00BA469B"/>
    <w:rsid w:val="00BB4A5B"/>
    <w:rsid w:val="00BB7249"/>
    <w:rsid w:val="00BC1CBC"/>
    <w:rsid w:val="00BE48FD"/>
    <w:rsid w:val="00BF2534"/>
    <w:rsid w:val="00BF2880"/>
    <w:rsid w:val="00BF79DC"/>
    <w:rsid w:val="00C0009B"/>
    <w:rsid w:val="00C00B73"/>
    <w:rsid w:val="00C019E3"/>
    <w:rsid w:val="00C2594A"/>
    <w:rsid w:val="00C35DE1"/>
    <w:rsid w:val="00C3795C"/>
    <w:rsid w:val="00C524AA"/>
    <w:rsid w:val="00C528C4"/>
    <w:rsid w:val="00C54689"/>
    <w:rsid w:val="00C7035B"/>
    <w:rsid w:val="00C81590"/>
    <w:rsid w:val="00C81B3A"/>
    <w:rsid w:val="00C84AE0"/>
    <w:rsid w:val="00C85A14"/>
    <w:rsid w:val="00C90915"/>
    <w:rsid w:val="00CA3F84"/>
    <w:rsid w:val="00CB2B3D"/>
    <w:rsid w:val="00CB6C08"/>
    <w:rsid w:val="00CC6E74"/>
    <w:rsid w:val="00CD0DCA"/>
    <w:rsid w:val="00CE5855"/>
    <w:rsid w:val="00CF4E52"/>
    <w:rsid w:val="00D00A9B"/>
    <w:rsid w:val="00D12F61"/>
    <w:rsid w:val="00D201C6"/>
    <w:rsid w:val="00D24784"/>
    <w:rsid w:val="00D476D0"/>
    <w:rsid w:val="00D544E0"/>
    <w:rsid w:val="00D638E0"/>
    <w:rsid w:val="00D65016"/>
    <w:rsid w:val="00D716BA"/>
    <w:rsid w:val="00D720FF"/>
    <w:rsid w:val="00D82C00"/>
    <w:rsid w:val="00D83C90"/>
    <w:rsid w:val="00D8404D"/>
    <w:rsid w:val="00D8587E"/>
    <w:rsid w:val="00D87C12"/>
    <w:rsid w:val="00D94382"/>
    <w:rsid w:val="00DB05EB"/>
    <w:rsid w:val="00DB191A"/>
    <w:rsid w:val="00DC2952"/>
    <w:rsid w:val="00DC3FB8"/>
    <w:rsid w:val="00DF1AB7"/>
    <w:rsid w:val="00E0034B"/>
    <w:rsid w:val="00E034EB"/>
    <w:rsid w:val="00E07C02"/>
    <w:rsid w:val="00E10472"/>
    <w:rsid w:val="00E11540"/>
    <w:rsid w:val="00E12B06"/>
    <w:rsid w:val="00E15BF6"/>
    <w:rsid w:val="00E355B1"/>
    <w:rsid w:val="00E426DD"/>
    <w:rsid w:val="00E44095"/>
    <w:rsid w:val="00E4514A"/>
    <w:rsid w:val="00E513E6"/>
    <w:rsid w:val="00E54005"/>
    <w:rsid w:val="00E71CB9"/>
    <w:rsid w:val="00E73698"/>
    <w:rsid w:val="00E75E13"/>
    <w:rsid w:val="00E77E23"/>
    <w:rsid w:val="00E8251C"/>
    <w:rsid w:val="00E844A0"/>
    <w:rsid w:val="00E862B8"/>
    <w:rsid w:val="00EA248E"/>
    <w:rsid w:val="00EA5BF6"/>
    <w:rsid w:val="00EB3AD3"/>
    <w:rsid w:val="00EB7634"/>
    <w:rsid w:val="00EC1A17"/>
    <w:rsid w:val="00ED2159"/>
    <w:rsid w:val="00EE4C51"/>
    <w:rsid w:val="00EE5945"/>
    <w:rsid w:val="00F01E44"/>
    <w:rsid w:val="00F13ED2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4396"/>
    <w:rsid w:val="00F76B61"/>
    <w:rsid w:val="00F80A86"/>
    <w:rsid w:val="00F85C24"/>
    <w:rsid w:val="00F90BCE"/>
    <w:rsid w:val="00F90C3D"/>
    <w:rsid w:val="00FB0F85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0D0BC704-A129-451E-943E-7B9984D0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/Registration/Audi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obile.twitter.com/AHP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News/2016-05-20-call-for-app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52BE-4154-44A9-9D0E-CBAA36D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2650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</dc:title>
  <dc:subject>Communique</dc:subject>
  <dc:creator>Osteopathy Board</dc:creator>
  <cp:keywords>26 May 2016</cp:keywords>
  <cp:lastModifiedBy>Tara Johnson</cp:lastModifiedBy>
  <cp:revision>3</cp:revision>
  <cp:lastPrinted>2016-05-31T05:33:00Z</cp:lastPrinted>
  <dcterms:created xsi:type="dcterms:W3CDTF">2016-05-31T05:10:00Z</dcterms:created>
  <dcterms:modified xsi:type="dcterms:W3CDTF">2016-05-31T05:33:00Z</dcterms:modified>
</cp:coreProperties>
</file>