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p>
    <w:p w:rsidR="009138F9" w:rsidRDefault="00620B28" w:rsidP="000E29C2">
      <w:pPr>
        <w:spacing w:line="360" w:lineRule="auto"/>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pt;margin-top:2pt;width:160.35pt;height:0;z-index:25165772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"/>
        </w:pict>
      </w:r>
    </w:p>
    <w:p w:rsidR="00622247" w:rsidRDefault="0041096D" w:rsidP="00984E15">
      <w:pPr>
        <w:pStyle w:val="AHPRADocumentsubheading"/>
      </w:pPr>
      <w:r>
        <w:t>April</w:t>
      </w:r>
      <w:r w:rsidR="00C7035B">
        <w:t xml:space="preserve"> 201</w:t>
      </w:r>
      <w:r w:rsidR="003D685C">
        <w:t>6</w:t>
      </w:r>
      <w:r w:rsidR="00984E15" w:rsidRPr="00984E15">
        <w:t xml:space="preserve"> meeting of the Osteopathy Board of Australia</w:t>
      </w:r>
    </w:p>
    <w:p w:rsidR="00312836" w:rsidRDefault="00984E15">
      <w:pPr>
        <w:pStyle w:val="AHPRABody0"/>
      </w:pPr>
      <w:r>
        <w:rPr>
          <w:color w:val="000000"/>
        </w:rPr>
        <w:t xml:space="preserve">The </w:t>
      </w:r>
      <w:r w:rsidR="00A802C1">
        <w:rPr>
          <w:color w:val="000000"/>
        </w:rPr>
        <w:t>7</w:t>
      </w:r>
      <w:r w:rsidR="0041096D">
        <w:rPr>
          <w:color w:val="000000"/>
        </w:rPr>
        <w:t>8</w:t>
      </w:r>
      <w:r w:rsidR="007F61FC" w:rsidRPr="007F61FC">
        <w:rPr>
          <w:color w:val="000000"/>
          <w:vertAlign w:val="superscript"/>
        </w:rPr>
        <w:t>th</w:t>
      </w:r>
      <w:r w:rsidR="007F61FC">
        <w:rPr>
          <w:color w:val="000000"/>
        </w:rPr>
        <w:t xml:space="preserve"> </w:t>
      </w:r>
      <w:r w:rsidRPr="00DF1D2B">
        <w:rPr>
          <w:color w:val="000000"/>
        </w:rPr>
        <w:t xml:space="preserve">meeting of the Osteopathy Board of Australia </w:t>
      </w:r>
      <w:r>
        <w:rPr>
          <w:color w:val="000000"/>
        </w:rPr>
        <w:t>(the Board) was</w:t>
      </w:r>
      <w:r w:rsidRPr="00DF1D2B">
        <w:rPr>
          <w:color w:val="000000"/>
        </w:rPr>
        <w:t xml:space="preserve"> held</w:t>
      </w:r>
      <w:r>
        <w:rPr>
          <w:color w:val="000000"/>
        </w:rPr>
        <w:t xml:space="preserve"> on</w:t>
      </w:r>
      <w:r w:rsidRPr="00EE5AB8">
        <w:rPr>
          <w:lang w:val="en-GB"/>
        </w:rPr>
        <w:t xml:space="preserve"> </w:t>
      </w:r>
      <w:r w:rsidR="0041096D">
        <w:rPr>
          <w:lang w:val="en-GB"/>
        </w:rPr>
        <w:t>28 April</w:t>
      </w:r>
      <w:r w:rsidR="00956637">
        <w:rPr>
          <w:lang w:val="en-GB"/>
        </w:rPr>
        <w:t xml:space="preserve"> 2016</w:t>
      </w:r>
      <w:r>
        <w:rPr>
          <w:lang w:val="en-GB"/>
        </w:rPr>
        <w:t xml:space="preserve"> in </w:t>
      </w:r>
      <w:r w:rsidR="00A802C1">
        <w:rPr>
          <w:lang w:val="en-GB"/>
        </w:rPr>
        <w:t>Melbourne</w:t>
      </w:r>
      <w:r>
        <w:t>. The Board publishes</w:t>
      </w:r>
      <w:r w:rsidRPr="00F362BF">
        <w:t xml:space="preserve"> this communiqué on our website and email</w:t>
      </w:r>
      <w:r>
        <w:t>s</w:t>
      </w:r>
      <w:r w:rsidRPr="00F362BF">
        <w:t xml:space="preserve"> it to a broad range of stakeholders. </w:t>
      </w:r>
      <w:r w:rsidRPr="00D97E48">
        <w:t xml:space="preserve">At each meeting, the Board considers a wide range of issues, many of which are routine and are </w:t>
      </w:r>
      <w:r>
        <w:t>not included in this communiqué</w:t>
      </w:r>
      <w:r w:rsidRPr="00F362BF">
        <w:t>.</w:t>
      </w:r>
      <w:r w:rsidR="00956637">
        <w:t xml:space="preserve"> </w:t>
      </w:r>
    </w:p>
    <w:p w:rsidR="00956637" w:rsidRDefault="00956637">
      <w:pPr>
        <w:pStyle w:val="AHPRABody0"/>
      </w:pPr>
    </w:p>
    <w:p w:rsidR="00956637" w:rsidRDefault="00956637">
      <w:pPr>
        <w:pStyle w:val="AHPRABody0"/>
      </w:pPr>
      <w:r>
        <w:t xml:space="preserve">The whole Board meets as the Registration and Notification Committee (RNC) </w:t>
      </w:r>
      <w:r w:rsidR="00A5494C">
        <w:t>on the same day as the Board meetings</w:t>
      </w:r>
      <w:r>
        <w:t xml:space="preserve"> to consider registration and notification (complaint) matters.</w:t>
      </w:r>
    </w:p>
    <w:p w:rsidR="00A5494C" w:rsidRDefault="00A5494C">
      <w:pPr>
        <w:pStyle w:val="AHPRABody0"/>
      </w:pPr>
    </w:p>
    <w:p w:rsidR="00956637" w:rsidRPr="007364F6" w:rsidRDefault="0041096D" w:rsidP="00956637">
      <w:pPr>
        <w:pStyle w:val="AHPRASubhead"/>
        <w:rPr>
          <w:rFonts w:cs="Arial"/>
          <w:color w:val="auto"/>
        </w:rPr>
      </w:pPr>
      <w:r>
        <w:rPr>
          <w:lang w:eastAsia="en-AU"/>
        </w:rPr>
        <w:t>Webinar</w:t>
      </w:r>
      <w:r w:rsidR="00871C0C">
        <w:rPr>
          <w:lang w:eastAsia="en-AU"/>
        </w:rPr>
        <w:t xml:space="preserve"> and newsletter – PII changes and CPD audit</w:t>
      </w:r>
    </w:p>
    <w:p w:rsidR="00871C0C" w:rsidRDefault="00956637" w:rsidP="0041096D">
      <w:pPr>
        <w:pStyle w:val="AHPRAbody"/>
        <w:rPr>
          <w:szCs w:val="20"/>
        </w:rPr>
      </w:pPr>
      <w:r w:rsidRPr="0041096D">
        <w:rPr>
          <w:szCs w:val="20"/>
        </w:rPr>
        <w:t xml:space="preserve">The Board </w:t>
      </w:r>
      <w:r w:rsidR="004851D1" w:rsidRPr="0041096D">
        <w:rPr>
          <w:szCs w:val="20"/>
        </w:rPr>
        <w:t>h</w:t>
      </w:r>
      <w:r w:rsidR="0041096D" w:rsidRPr="0041096D">
        <w:rPr>
          <w:szCs w:val="20"/>
        </w:rPr>
        <w:t>eld a webinar for registrants on 5 May 201</w:t>
      </w:r>
      <w:bookmarkStart w:id="0" w:name="_GoBack"/>
      <w:bookmarkEnd w:id="0"/>
      <w:r w:rsidR="0041096D" w:rsidRPr="0041096D">
        <w:rPr>
          <w:szCs w:val="20"/>
        </w:rPr>
        <w:t>6 on the changes to the professional indemnity insurance (PII) arrangements registration standard</w:t>
      </w:r>
      <w:r w:rsidR="0041096D">
        <w:rPr>
          <w:szCs w:val="20"/>
        </w:rPr>
        <w:t xml:space="preserve"> </w:t>
      </w:r>
      <w:r w:rsidR="00EA5BF6">
        <w:rPr>
          <w:szCs w:val="20"/>
        </w:rPr>
        <w:t xml:space="preserve">from 1 July 2016, </w:t>
      </w:r>
      <w:r w:rsidR="0041096D">
        <w:rPr>
          <w:szCs w:val="20"/>
        </w:rPr>
        <w:t xml:space="preserve">and the current continuing professional development (CPD) audit. </w:t>
      </w:r>
      <w:r w:rsidR="005D6959">
        <w:rPr>
          <w:szCs w:val="20"/>
        </w:rPr>
        <w:t>More than 100 people registered for t</w:t>
      </w:r>
      <w:r w:rsidR="00871C0C">
        <w:rPr>
          <w:szCs w:val="20"/>
        </w:rPr>
        <w:t xml:space="preserve">he </w:t>
      </w:r>
      <w:r w:rsidR="00EA5BF6">
        <w:rPr>
          <w:szCs w:val="20"/>
        </w:rPr>
        <w:t xml:space="preserve">webinar </w:t>
      </w:r>
      <w:r w:rsidR="00871C0C">
        <w:rPr>
          <w:szCs w:val="20"/>
        </w:rPr>
        <w:t>presentation</w:t>
      </w:r>
      <w:r w:rsidR="005B04F4">
        <w:rPr>
          <w:szCs w:val="20"/>
        </w:rPr>
        <w:t xml:space="preserve"> of</w:t>
      </w:r>
      <w:r w:rsidR="005D6959">
        <w:rPr>
          <w:szCs w:val="20"/>
        </w:rPr>
        <w:t xml:space="preserve"> which</w:t>
      </w:r>
      <w:r w:rsidR="005B04F4">
        <w:rPr>
          <w:szCs w:val="20"/>
        </w:rPr>
        <w:t xml:space="preserve"> a recording</w:t>
      </w:r>
      <w:r w:rsidR="005D6959">
        <w:rPr>
          <w:szCs w:val="20"/>
        </w:rPr>
        <w:t xml:space="preserve"> </w:t>
      </w:r>
      <w:r w:rsidR="00871C0C">
        <w:rPr>
          <w:szCs w:val="20"/>
        </w:rPr>
        <w:t xml:space="preserve">will be available on the </w:t>
      </w:r>
      <w:r w:rsidR="005D6959">
        <w:rPr>
          <w:szCs w:val="20"/>
        </w:rPr>
        <w:t xml:space="preserve">Board’s </w:t>
      </w:r>
      <w:r w:rsidR="00871C0C">
        <w:rPr>
          <w:szCs w:val="20"/>
        </w:rPr>
        <w:t xml:space="preserve">website in the next couple of weeks. </w:t>
      </w:r>
    </w:p>
    <w:p w:rsidR="00E355B1" w:rsidRPr="0041096D" w:rsidRDefault="00871C0C" w:rsidP="0041096D">
      <w:pPr>
        <w:pStyle w:val="AHPRAbody"/>
        <w:rPr>
          <w:szCs w:val="20"/>
        </w:rPr>
      </w:pPr>
      <w:r>
        <w:rPr>
          <w:szCs w:val="20"/>
        </w:rPr>
        <w:t xml:space="preserve">These topics were comprehensively covered in the </w:t>
      </w:r>
      <w:hyperlink r:id="rId8" w:history="1">
        <w:r w:rsidRPr="00871C0C">
          <w:rPr>
            <w:rStyle w:val="Hyperlink"/>
            <w:szCs w:val="20"/>
          </w:rPr>
          <w:t>Apr</w:t>
        </w:r>
        <w:r w:rsidR="005D6959">
          <w:rPr>
            <w:rStyle w:val="Hyperlink"/>
            <w:szCs w:val="20"/>
          </w:rPr>
          <w:t>il edition of the Board’s newsletter</w:t>
        </w:r>
      </w:hyperlink>
      <w:r>
        <w:rPr>
          <w:szCs w:val="20"/>
        </w:rPr>
        <w:t xml:space="preserve"> </w:t>
      </w:r>
      <w:r w:rsidR="006D1066">
        <w:rPr>
          <w:szCs w:val="20"/>
        </w:rPr>
        <w:t>which is emailed to all registrants</w:t>
      </w:r>
      <w:r>
        <w:rPr>
          <w:szCs w:val="20"/>
        </w:rPr>
        <w:t xml:space="preserve">. </w:t>
      </w:r>
    </w:p>
    <w:p w:rsidR="00DB05EB" w:rsidRPr="007364F6" w:rsidRDefault="00871C0C" w:rsidP="00DB05EB">
      <w:pPr>
        <w:pStyle w:val="AHPRASubhead"/>
        <w:rPr>
          <w:rFonts w:cs="Arial"/>
          <w:color w:val="auto"/>
        </w:rPr>
      </w:pPr>
      <w:r>
        <w:rPr>
          <w:lang w:eastAsia="en-AU"/>
        </w:rPr>
        <w:t>Osteopathy Board vacancy</w:t>
      </w:r>
    </w:p>
    <w:p w:rsidR="00871C0C" w:rsidRDefault="00871C0C" w:rsidP="00871C0C">
      <w:pPr>
        <w:pStyle w:val="AHPRAbody"/>
      </w:pPr>
      <w:r>
        <w:t xml:space="preserve">Every time a Board member comes to the end of their term on the Board, the </w:t>
      </w:r>
      <w:r w:rsidR="005D6959">
        <w:t xml:space="preserve">vacant </w:t>
      </w:r>
      <w:r>
        <w:t xml:space="preserve">position is </w:t>
      </w:r>
      <w:r w:rsidR="005D6959">
        <w:t xml:space="preserve">widely </w:t>
      </w:r>
      <w:r>
        <w:t>advertised. A vacancy for a practitioner member from a small jurisdiction (Tasmania</w:t>
      </w:r>
      <w:r w:rsidR="005D6959">
        <w:t>,</w:t>
      </w:r>
      <w:r>
        <w:t xml:space="preserve"> the ACT or the N</w:t>
      </w:r>
      <w:r w:rsidR="005D6959">
        <w:t xml:space="preserve">orthern </w:t>
      </w:r>
      <w:r>
        <w:t>T</w:t>
      </w:r>
      <w:r w:rsidR="005D6959">
        <w:t>erritory</w:t>
      </w:r>
      <w:r>
        <w:t xml:space="preserve">) will be advertised in May in the national and relevant metropolitan newspapers. </w:t>
      </w:r>
    </w:p>
    <w:p w:rsidR="00871C0C" w:rsidRDefault="00871C0C" w:rsidP="00871C0C">
      <w:pPr>
        <w:pStyle w:val="AHPRAbody"/>
      </w:pPr>
      <w:r>
        <w:t>All National Board appointments are made by the Australian Health Workforce Ministerial Council. If you are interested, please monitor the </w:t>
      </w:r>
      <w:hyperlink r:id="rId9" w:history="1">
        <w:r>
          <w:rPr>
            <w:rStyle w:val="Hyperlink"/>
            <w:rFonts w:cs="Arial"/>
            <w:szCs w:val="20"/>
          </w:rPr>
          <w:t>National Boards recruitment page</w:t>
        </w:r>
      </w:hyperlink>
      <w:r>
        <w:t xml:space="preserve"> on AHPRA’s website. More information will be available on the website as soon as the vacancy is advertised.</w:t>
      </w:r>
    </w:p>
    <w:p w:rsidR="00871C0C" w:rsidRPr="00721EC3" w:rsidRDefault="00871C0C" w:rsidP="00871C0C">
      <w:pPr>
        <w:pStyle w:val="AHPRAbody"/>
        <w:tabs>
          <w:tab w:val="left" w:pos="0"/>
        </w:tabs>
        <w:spacing w:after="120"/>
        <w:rPr>
          <w:b/>
          <w:bCs/>
          <w:color w:val="008EC4"/>
          <w:szCs w:val="20"/>
        </w:rPr>
      </w:pPr>
      <w:r>
        <w:rPr>
          <w:b/>
          <w:bCs/>
          <w:color w:val="008EC4"/>
          <w:szCs w:val="20"/>
        </w:rPr>
        <w:t>Osteopathy</w:t>
      </w:r>
      <w:r w:rsidRPr="00721EC3">
        <w:rPr>
          <w:b/>
          <w:bCs/>
          <w:color w:val="008EC4"/>
          <w:szCs w:val="20"/>
        </w:rPr>
        <w:t xml:space="preserve"> regulation at work in Australia, 2014/15</w:t>
      </w:r>
    </w:p>
    <w:p w:rsidR="00EA5BF6" w:rsidRPr="00EA5BF6" w:rsidRDefault="00EA5BF6" w:rsidP="00EA5BF6">
      <w:pPr>
        <w:pStyle w:val="AHPRAbody"/>
        <w:rPr>
          <w:lang w:eastAsia="en-AU"/>
        </w:rPr>
      </w:pPr>
      <w:r w:rsidRPr="00EA5BF6">
        <w:rPr>
          <w:lang w:eastAsia="en-AU"/>
        </w:rPr>
        <w:t>During 2014/15</w:t>
      </w:r>
      <w:r w:rsidR="005D6959">
        <w:rPr>
          <w:lang w:eastAsia="en-AU"/>
        </w:rPr>
        <w:t>,</w:t>
      </w:r>
      <w:r w:rsidRPr="00EA5BF6">
        <w:rPr>
          <w:lang w:eastAsia="en-AU"/>
        </w:rPr>
        <w:t xml:space="preserve"> the Board finalised consultations on the review of the five core registration standards that have been in place since the National Scheme</w:t>
      </w:r>
      <w:r w:rsidR="005B04F4">
        <w:rPr>
          <w:lang w:eastAsia="en-AU"/>
        </w:rPr>
        <w:t xml:space="preserve"> started</w:t>
      </w:r>
      <w:r w:rsidRPr="00EA5BF6">
        <w:rPr>
          <w:lang w:eastAsia="en-AU"/>
        </w:rPr>
        <w:t>. Reviews of the capabilities for osteopathic practice and the accreditation standards for osteopathic programs of study</w:t>
      </w:r>
      <w:r w:rsidR="005B04F4">
        <w:rPr>
          <w:lang w:eastAsia="en-AU"/>
        </w:rPr>
        <w:t xml:space="preserve"> were begun</w:t>
      </w:r>
      <w:r w:rsidRPr="00EA5BF6">
        <w:rPr>
          <w:lang w:eastAsia="en-AU"/>
        </w:rPr>
        <w:t>. The Board also undertook risk-based planning to prioritise regulatory work, based on identified areas of higher risk to the public, and to ensure that any regulatory response is evidence-based, appropriate and proportionate. Advertising was identified as a priority area, and recommendations from a meeting of an advisory group resulted in communication with all practitioners through an advertising bulletin and letters to practitioners who were the subject of advertising complaints.</w:t>
      </w:r>
    </w:p>
    <w:p w:rsidR="00EA5BF6" w:rsidRPr="00EA5BF6" w:rsidRDefault="00EA5BF6" w:rsidP="00EA5BF6">
      <w:pPr>
        <w:pStyle w:val="AHPRAbodybold"/>
        <w:rPr>
          <w:lang w:eastAsia="en-AU"/>
        </w:rPr>
      </w:pPr>
      <w:r w:rsidRPr="00EA5BF6">
        <w:rPr>
          <w:lang w:eastAsia="en-AU"/>
        </w:rPr>
        <w:t>Highlights</w:t>
      </w:r>
    </w:p>
    <w:p w:rsidR="00EA5BF6" w:rsidRPr="00EA5BF6" w:rsidRDefault="00EA5BF6" w:rsidP="00EA5BF6">
      <w:pPr>
        <w:pStyle w:val="AHPRAbody"/>
        <w:numPr>
          <w:ilvl w:val="0"/>
          <w:numId w:val="20"/>
        </w:numPr>
        <w:spacing w:after="0" w:line="360" w:lineRule="auto"/>
        <w:rPr>
          <w:lang w:eastAsia="en-AU"/>
        </w:rPr>
      </w:pPr>
      <w:r w:rsidRPr="00EA5BF6">
        <w:rPr>
          <w:lang w:eastAsia="en-AU"/>
        </w:rPr>
        <w:t>2,000 registered osteopaths in Australia on 30 June 2015. </w:t>
      </w:r>
    </w:p>
    <w:p w:rsidR="00EA5BF6" w:rsidRPr="00EA5BF6" w:rsidRDefault="00EA5BF6" w:rsidP="00EA5BF6">
      <w:pPr>
        <w:pStyle w:val="AHPRAbody"/>
        <w:numPr>
          <w:ilvl w:val="0"/>
          <w:numId w:val="20"/>
        </w:numPr>
        <w:spacing w:after="0" w:line="360" w:lineRule="auto"/>
        <w:rPr>
          <w:lang w:eastAsia="en-AU"/>
        </w:rPr>
      </w:pPr>
      <w:r w:rsidRPr="00EA5BF6">
        <w:rPr>
          <w:lang w:eastAsia="en-AU"/>
        </w:rPr>
        <w:t>7.24% increase in number of registered osteopaths compared to 2013/14. </w:t>
      </w:r>
    </w:p>
    <w:p w:rsidR="00EA5BF6" w:rsidRPr="00EA5BF6" w:rsidRDefault="00EA5BF6" w:rsidP="00EA5BF6">
      <w:pPr>
        <w:pStyle w:val="AHPRAbody"/>
        <w:numPr>
          <w:ilvl w:val="0"/>
          <w:numId w:val="20"/>
        </w:numPr>
        <w:spacing w:after="0" w:line="360" w:lineRule="auto"/>
        <w:rPr>
          <w:lang w:eastAsia="en-AU"/>
        </w:rPr>
      </w:pPr>
      <w:r w:rsidRPr="00EA5BF6">
        <w:rPr>
          <w:lang w:eastAsia="en-AU"/>
        </w:rPr>
        <w:t>52% of osteopaths based in Victoria. </w:t>
      </w:r>
    </w:p>
    <w:p w:rsidR="00EA5BF6" w:rsidRPr="00EA5BF6" w:rsidRDefault="00EA5BF6" w:rsidP="00EA5BF6">
      <w:pPr>
        <w:pStyle w:val="AHPRAbody"/>
        <w:numPr>
          <w:ilvl w:val="0"/>
          <w:numId w:val="20"/>
        </w:numPr>
        <w:spacing w:after="0" w:line="360" w:lineRule="auto"/>
        <w:rPr>
          <w:lang w:eastAsia="en-AU"/>
        </w:rPr>
      </w:pPr>
      <w:r w:rsidRPr="00EA5BF6">
        <w:rPr>
          <w:lang w:eastAsia="en-AU"/>
        </w:rPr>
        <w:t>62.5% of osteopaths are aged under 40. </w:t>
      </w:r>
    </w:p>
    <w:p w:rsidR="00EA5BF6" w:rsidRPr="00EA5BF6" w:rsidRDefault="00EA5BF6" w:rsidP="00EA5BF6">
      <w:pPr>
        <w:pStyle w:val="AHPRAbody"/>
        <w:numPr>
          <w:ilvl w:val="0"/>
          <w:numId w:val="20"/>
        </w:numPr>
        <w:spacing w:after="0" w:line="360" w:lineRule="auto"/>
        <w:rPr>
          <w:lang w:eastAsia="en-AU"/>
        </w:rPr>
      </w:pPr>
      <w:r w:rsidRPr="00EA5BF6">
        <w:rPr>
          <w:lang w:eastAsia="en-AU"/>
        </w:rPr>
        <w:t>Notifications lodged relate to 0.7% of the registration base. </w:t>
      </w:r>
    </w:p>
    <w:p w:rsidR="00871C0C" w:rsidRDefault="00871C0C" w:rsidP="00EA5BF6">
      <w:pPr>
        <w:pStyle w:val="AHPRAbody"/>
        <w:spacing w:after="0"/>
        <w:rPr>
          <w:bCs/>
        </w:rPr>
      </w:pPr>
      <w:r w:rsidRPr="00721EC3">
        <w:rPr>
          <w:bCs/>
        </w:rPr>
        <w:t xml:space="preserve">A copy of the report can be downloaded from the Board’s </w:t>
      </w:r>
      <w:hyperlink r:id="rId10" w:history="1">
        <w:r w:rsidRPr="00EA5BF6">
          <w:rPr>
            <w:rStyle w:val="Hyperlink"/>
            <w:bCs/>
          </w:rPr>
          <w:t>website</w:t>
        </w:r>
      </w:hyperlink>
      <w:r w:rsidRPr="00721EC3">
        <w:rPr>
          <w:bCs/>
        </w:rPr>
        <w:t>.</w:t>
      </w:r>
    </w:p>
    <w:p w:rsidR="00EA5BF6" w:rsidRDefault="00EA5BF6" w:rsidP="00956637">
      <w:pPr>
        <w:pStyle w:val="AHPRASubhead"/>
      </w:pPr>
    </w:p>
    <w:p w:rsidR="005B04F4" w:rsidRDefault="005B04F4" w:rsidP="005B04F4">
      <w:pPr>
        <w:pStyle w:val="AHPRASubheading"/>
      </w:pPr>
      <w:r>
        <w:lastRenderedPageBreak/>
        <w:t>Quarterly performance reports released</w:t>
      </w:r>
    </w:p>
    <w:p w:rsidR="005B04F4" w:rsidRDefault="005B04F4" w:rsidP="005B04F4">
      <w:pPr>
        <w:pStyle w:val="AHPRASubheading"/>
        <w:rPr>
          <w:b w:val="0"/>
          <w:color w:val="auto"/>
        </w:rPr>
      </w:pPr>
      <w:r>
        <w:rPr>
          <w:b w:val="0"/>
          <w:color w:val="auto"/>
        </w:rPr>
        <w:t>AHPRA and the National Boards, including the Osteopathy Board, have released new information about their performance in each state and territory to improve transparency and accountability.</w:t>
      </w:r>
    </w:p>
    <w:p w:rsidR="005B04F4" w:rsidRDefault="005B04F4" w:rsidP="005B04F4">
      <w:pPr>
        <w:pStyle w:val="AHPRASubheading"/>
        <w:rPr>
          <w:b w:val="0"/>
          <w:color w:val="auto"/>
        </w:rPr>
      </w:pPr>
      <w:r>
        <w:rPr>
          <w:b w:val="0"/>
          <w:color w:val="auto"/>
        </w:rPr>
        <w:t xml:space="preserve">The comprehensive information and data has been published on the </w:t>
      </w:r>
      <w:hyperlink r:id="rId11" w:history="1">
        <w:r w:rsidRPr="00294FD5">
          <w:rPr>
            <w:rStyle w:val="Hyperlink"/>
            <w:b w:val="0"/>
          </w:rPr>
          <w:t>AHPRA website</w:t>
        </w:r>
      </w:hyperlink>
      <w:r>
        <w:rPr>
          <w:b w:val="0"/>
          <w:color w:val="auto"/>
        </w:rPr>
        <w:t xml:space="preserve"> to help the community and health practitioners better understand what AHPRA and the National Boards do and how.</w:t>
      </w:r>
    </w:p>
    <w:p w:rsidR="005B04F4" w:rsidRDefault="005B04F4" w:rsidP="005B04F4">
      <w:pPr>
        <w:pStyle w:val="AHPRASubheading"/>
        <w:rPr>
          <w:b w:val="0"/>
          <w:color w:val="auto"/>
        </w:rPr>
      </w:pPr>
      <w:r>
        <w:rPr>
          <w:b w:val="0"/>
          <w:color w:val="auto"/>
        </w:rPr>
        <w:t xml:space="preserve">The quarterly performance reports include data specific to each state and territory for the period October to December 2015 and covers AHPRA and the National Boards’ main areas of activity in implementing the National Scheme. </w:t>
      </w:r>
    </w:p>
    <w:p w:rsidR="005B04F4" w:rsidRDefault="005B04F4" w:rsidP="005B04F4">
      <w:pPr>
        <w:pStyle w:val="AHPRASubhead"/>
        <w:rPr>
          <w:b w:val="0"/>
          <w:color w:val="auto"/>
        </w:rPr>
      </w:pPr>
      <w:r>
        <w:rPr>
          <w:b w:val="0"/>
          <w:color w:val="auto"/>
        </w:rPr>
        <w:t xml:space="preserve">To provide feedback on the reports email: </w:t>
      </w:r>
      <w:hyperlink r:id="rId12" w:history="1">
        <w:r w:rsidRPr="003D01F6">
          <w:rPr>
            <w:rStyle w:val="Hyperlink"/>
            <w:b w:val="0"/>
          </w:rPr>
          <w:t>reportingfeedback@ahpra.gov.au</w:t>
        </w:r>
      </w:hyperlink>
      <w:r>
        <w:rPr>
          <w:b w:val="0"/>
          <w:color w:val="auto"/>
        </w:rPr>
        <w:t>.</w:t>
      </w:r>
    </w:p>
    <w:p w:rsidR="00956637" w:rsidRDefault="00956637" w:rsidP="00956637">
      <w:pPr>
        <w:pStyle w:val="AHPRASubhead"/>
      </w:pPr>
      <w:r w:rsidRPr="00AC2FCD">
        <w:t>Follow @AHPRA on Twitter</w:t>
      </w:r>
    </w:p>
    <w:p w:rsidR="00956637" w:rsidRPr="00AC2FCD" w:rsidRDefault="00956637" w:rsidP="00956637">
      <w:pPr>
        <w:pStyle w:val="AHPRAbody"/>
      </w:pPr>
      <w:r w:rsidRPr="00AC2FCD">
        <w:t xml:space="preserve">AHPRA uses </w:t>
      </w:r>
      <w:hyperlink r:id="rId13" w:history="1">
        <w:r w:rsidRPr="00076565">
          <w:rPr>
            <w:rStyle w:val="Hyperlink"/>
          </w:rPr>
          <w:t>Twitter</w:t>
        </w:r>
      </w:hyperlink>
      <w:r w:rsidRPr="00AC2FCD">
        <w:t xml:space="preserve"> to encourage greater discussion about National Board consultations and to host regular Twitter chats on important topics.</w:t>
      </w:r>
      <w:r>
        <w:t xml:space="preserve"> </w:t>
      </w:r>
    </w:p>
    <w:p w:rsidR="00984E15" w:rsidRPr="00984E15" w:rsidRDefault="00984E15" w:rsidP="004F7F60">
      <w:pPr>
        <w:pStyle w:val="AHPRASubhead"/>
        <w:spacing w:before="240" w:after="0"/>
      </w:pPr>
      <w:r w:rsidRPr="00984E15">
        <w:t>Keeping in touch with the Board</w:t>
      </w:r>
    </w:p>
    <w:p w:rsidR="00B169C7" w:rsidRDefault="00B169C7">
      <w:pPr>
        <w:pStyle w:val="AHPRABody0"/>
      </w:pPr>
    </w:p>
    <w:p w:rsidR="00312836" w:rsidRDefault="00984E15">
      <w:pPr>
        <w:pStyle w:val="AHPRABody0"/>
      </w:pPr>
      <w:r>
        <w:t xml:space="preserve">The Board publishes a range of information about registration and the Board’s expectations of practitioners on its website at </w:t>
      </w:r>
      <w:hyperlink r:id="rId14"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2F2ED3" w:rsidRDefault="002F2ED3" w:rsidP="0092054F">
      <w:pPr>
        <w:spacing w:before="0" w:after="0"/>
        <w:rPr>
          <w:szCs w:val="20"/>
          <w:lang w:val="en-US"/>
        </w:rPr>
      </w:pPr>
    </w:p>
    <w:p w:rsidR="00E44095" w:rsidRDefault="00E44095" w:rsidP="0092054F">
      <w:pPr>
        <w:spacing w:before="0" w:after="0"/>
        <w:rPr>
          <w:szCs w:val="20"/>
          <w:lang w:val="en-US"/>
        </w:rPr>
      </w:pPr>
    </w:p>
    <w:p w:rsidR="00E44095" w:rsidRDefault="00E44095" w:rsidP="0092054F">
      <w:pPr>
        <w:spacing w:before="0" w:after="0"/>
        <w:rPr>
          <w:szCs w:val="20"/>
          <w:lang w:val="en-US"/>
        </w:rPr>
      </w:pPr>
    </w:p>
    <w:p w:rsidR="00312836" w:rsidRDefault="00984E15">
      <w:pPr>
        <w:pStyle w:val="AHPRABody0"/>
        <w:rPr>
          <w:lang w:val="en-US"/>
        </w:rPr>
      </w:pPr>
      <w:r w:rsidRPr="00AE3701">
        <w:rPr>
          <w:lang w:val="en-US"/>
        </w:rPr>
        <w:t xml:space="preserve">Dr </w:t>
      </w:r>
      <w:r>
        <w:rPr>
          <w:lang w:val="en-US"/>
        </w:rPr>
        <w:t>Nikole Grbin (Osteopath)</w:t>
      </w:r>
    </w:p>
    <w:p w:rsidR="003B5E14" w:rsidRDefault="00984E15" w:rsidP="0092054F">
      <w:pPr>
        <w:spacing w:before="0" w:after="0"/>
        <w:rPr>
          <w:color w:val="0070C0"/>
          <w:szCs w:val="20"/>
          <w:lang w:val="en-US"/>
        </w:rPr>
      </w:pPr>
      <w:r w:rsidRPr="007D493A">
        <w:rPr>
          <w:color w:val="0070C0"/>
          <w:szCs w:val="20"/>
          <w:lang w:val="en-US"/>
        </w:rPr>
        <w:t>Chair</w:t>
      </w:r>
    </w:p>
    <w:p w:rsidR="0092054F" w:rsidRDefault="002169EA" w:rsidP="0092054F">
      <w:pPr>
        <w:spacing w:before="0" w:after="0"/>
        <w:rPr>
          <w:szCs w:val="20"/>
          <w:lang w:val="en-US"/>
        </w:rPr>
      </w:pPr>
      <w:r>
        <w:rPr>
          <w:color w:val="0070C0"/>
          <w:szCs w:val="20"/>
          <w:lang w:val="en-US"/>
        </w:rPr>
        <w:t>Osteopathy Board of Australia</w:t>
      </w:r>
      <w:r w:rsidR="00984E15">
        <w:rPr>
          <w:color w:val="0070C0"/>
          <w:szCs w:val="20"/>
          <w:lang w:val="en-US"/>
        </w:rPr>
        <w:br/>
      </w:r>
    </w:p>
    <w:p w:rsidR="00312836" w:rsidRDefault="0041096D">
      <w:pPr>
        <w:pStyle w:val="AHPRABody0"/>
      </w:pPr>
      <w:r>
        <w:rPr>
          <w:lang w:val="en-US"/>
        </w:rPr>
        <w:t>10 May</w:t>
      </w:r>
      <w:r w:rsidR="000542EA">
        <w:rPr>
          <w:lang w:val="en-US"/>
        </w:rPr>
        <w:t xml:space="preserve"> 2016</w:t>
      </w:r>
    </w:p>
    <w:sectPr w:rsidR="00312836" w:rsidSect="004B438E">
      <w:headerReference w:type="default" r:id="rId15"/>
      <w:footerReference w:type="even" r:id="rId16"/>
      <w:footerReference w:type="default" r:id="rId17"/>
      <w:headerReference w:type="first" r:id="rId18"/>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0C" w:rsidRDefault="00871C0C" w:rsidP="008A56B3">
      <w:r>
        <w:separator/>
      </w:r>
    </w:p>
    <w:p w:rsidR="00871C0C" w:rsidRDefault="00871C0C" w:rsidP="008A56B3"/>
  </w:endnote>
  <w:endnote w:type="continuationSeparator" w:id="0">
    <w:p w:rsidR="00871C0C" w:rsidRDefault="00871C0C" w:rsidP="008A56B3">
      <w:r>
        <w:continuationSeparator/>
      </w:r>
    </w:p>
    <w:p w:rsidR="00871C0C" w:rsidRDefault="00871C0C"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0C" w:rsidRDefault="00E75E13" w:rsidP="008A56B3">
    <w:pPr>
      <w:pStyle w:val="AHPRAfootnote"/>
    </w:pPr>
    <w:r>
      <w:fldChar w:fldCharType="begin"/>
    </w:r>
    <w:r w:rsidR="00871C0C">
      <w:instrText xml:space="preserve">PAGE  </w:instrText>
    </w:r>
    <w:r>
      <w:fldChar w:fldCharType="end"/>
    </w:r>
  </w:p>
  <w:p w:rsidR="00871C0C" w:rsidRDefault="00871C0C" w:rsidP="008A56B3">
    <w:pPr>
      <w:pStyle w:val="AHPRAfootnote"/>
    </w:pPr>
  </w:p>
  <w:p w:rsidR="00871C0C" w:rsidRDefault="00871C0C"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0C" w:rsidRPr="000E7E28" w:rsidRDefault="00620B28"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871C0C">
          <w:tab/>
        </w:r>
        <w:r w:rsidR="00871C0C">
          <w:tab/>
        </w:r>
        <w:r w:rsidR="00871C0C" w:rsidRPr="000E7E28">
          <w:t xml:space="preserve">Page </w:t>
        </w:r>
        <w:r>
          <w:fldChar w:fldCharType="begin"/>
        </w:r>
        <w:r>
          <w:instrText xml:space="preserve"> PAGE </w:instrText>
        </w:r>
        <w:r>
          <w:fldChar w:fldCharType="separate"/>
        </w:r>
        <w:r>
          <w:rPr>
            <w:noProof/>
          </w:rPr>
          <w:t>2</w:t>
        </w:r>
        <w:r>
          <w:rPr>
            <w:noProof/>
          </w:rPr>
          <w:fldChar w:fldCharType="end"/>
        </w:r>
        <w:r w:rsidR="00871C0C"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0C" w:rsidRDefault="00871C0C" w:rsidP="008A56B3">
      <w:r>
        <w:separator/>
      </w:r>
    </w:p>
  </w:footnote>
  <w:footnote w:type="continuationSeparator" w:id="0">
    <w:p w:rsidR="00871C0C" w:rsidRDefault="00871C0C" w:rsidP="008A56B3">
      <w:r>
        <w:continuationSeparator/>
      </w:r>
    </w:p>
    <w:p w:rsidR="00871C0C" w:rsidRDefault="00871C0C" w:rsidP="008A56B3"/>
  </w:footnote>
  <w:footnote w:type="continuationNotice" w:id="1">
    <w:p w:rsidR="00871C0C" w:rsidRDefault="00871C0C"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0C" w:rsidRPr="00315933" w:rsidRDefault="00871C0C" w:rsidP="008A56B3"/>
  <w:p w:rsidR="00871C0C" w:rsidRDefault="00871C0C"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0C" w:rsidRDefault="00871C0C"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871C0C" w:rsidRDefault="00871C0C" w:rsidP="008A56B3"/>
  <w:p w:rsidR="00871C0C" w:rsidRDefault="00871C0C" w:rsidP="008A56B3"/>
  <w:p w:rsidR="00871C0C" w:rsidRDefault="00871C0C" w:rsidP="008A56B3"/>
  <w:p w:rsidR="00871C0C" w:rsidRDefault="00871C0C" w:rsidP="008A56B3"/>
  <w:p w:rsidR="00871C0C" w:rsidRDefault="00871C0C"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17313"/>
    <w:multiLevelType w:val="hybridMultilevel"/>
    <w:tmpl w:val="F6C2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2"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7C81"/>
    <w:multiLevelType w:val="multilevel"/>
    <w:tmpl w:val="7980C9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D3B3714"/>
    <w:multiLevelType w:val="multilevel"/>
    <w:tmpl w:val="C4183F12"/>
    <w:numStyleLink w:val="AHPRANumberedlist"/>
  </w:abstractNum>
  <w:abstractNum w:abstractNumId="16" w15:restartNumberingAfterBreak="0">
    <w:nsid w:val="414C52D6"/>
    <w:multiLevelType w:val="hybridMultilevel"/>
    <w:tmpl w:val="3404D95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81EE3"/>
    <w:multiLevelType w:val="hybridMultilevel"/>
    <w:tmpl w:val="313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2"/>
  </w:num>
  <w:num w:numId="3">
    <w:abstractNumId w:val="5"/>
  </w:num>
  <w:num w:numId="4">
    <w:abstractNumId w:val="4"/>
  </w:num>
  <w:num w:numId="5">
    <w:abstractNumId w:val="15"/>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2"/>
  </w:num>
  <w:num w:numId="14">
    <w:abstractNumId w:val="10"/>
  </w:num>
  <w:num w:numId="15">
    <w:abstractNumId w:val="9"/>
  </w:num>
  <w:num w:numId="16">
    <w:abstractNumId w:val="11"/>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4AF"/>
    <w:rsid w:val="00006922"/>
    <w:rsid w:val="000111B2"/>
    <w:rsid w:val="000220BD"/>
    <w:rsid w:val="00023904"/>
    <w:rsid w:val="000334D7"/>
    <w:rsid w:val="00052BF3"/>
    <w:rsid w:val="000542EA"/>
    <w:rsid w:val="00061983"/>
    <w:rsid w:val="00061A94"/>
    <w:rsid w:val="00071439"/>
    <w:rsid w:val="00071D70"/>
    <w:rsid w:val="00082158"/>
    <w:rsid w:val="00082456"/>
    <w:rsid w:val="000945FB"/>
    <w:rsid w:val="000A076C"/>
    <w:rsid w:val="000A1543"/>
    <w:rsid w:val="000A6BF7"/>
    <w:rsid w:val="000C45EB"/>
    <w:rsid w:val="000D12D1"/>
    <w:rsid w:val="000E00BF"/>
    <w:rsid w:val="000E29C2"/>
    <w:rsid w:val="000E486F"/>
    <w:rsid w:val="000E6D3A"/>
    <w:rsid w:val="000E7E28"/>
    <w:rsid w:val="000F5D90"/>
    <w:rsid w:val="000F71FB"/>
    <w:rsid w:val="001004CD"/>
    <w:rsid w:val="0010139F"/>
    <w:rsid w:val="00107F83"/>
    <w:rsid w:val="0011487C"/>
    <w:rsid w:val="00131CE1"/>
    <w:rsid w:val="00136D16"/>
    <w:rsid w:val="00144DEF"/>
    <w:rsid w:val="00146F33"/>
    <w:rsid w:val="001506FE"/>
    <w:rsid w:val="00162C6D"/>
    <w:rsid w:val="00196F14"/>
    <w:rsid w:val="001C425C"/>
    <w:rsid w:val="001C5EAE"/>
    <w:rsid w:val="001D01AA"/>
    <w:rsid w:val="001E1E31"/>
    <w:rsid w:val="001E2849"/>
    <w:rsid w:val="001E4A94"/>
    <w:rsid w:val="001E5621"/>
    <w:rsid w:val="002040A7"/>
    <w:rsid w:val="002169EA"/>
    <w:rsid w:val="00220A3B"/>
    <w:rsid w:val="00224708"/>
    <w:rsid w:val="0022736D"/>
    <w:rsid w:val="00236A1F"/>
    <w:rsid w:val="00240D52"/>
    <w:rsid w:val="00260EDF"/>
    <w:rsid w:val="00270394"/>
    <w:rsid w:val="0028013F"/>
    <w:rsid w:val="0028496C"/>
    <w:rsid w:val="00294EC4"/>
    <w:rsid w:val="00295B44"/>
    <w:rsid w:val="002A45B4"/>
    <w:rsid w:val="002A6406"/>
    <w:rsid w:val="002B2D48"/>
    <w:rsid w:val="002C08FB"/>
    <w:rsid w:val="002C27AE"/>
    <w:rsid w:val="002C34EA"/>
    <w:rsid w:val="002D0798"/>
    <w:rsid w:val="002D599C"/>
    <w:rsid w:val="002E1641"/>
    <w:rsid w:val="002F0FD7"/>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1DE0"/>
    <w:rsid w:val="00373A35"/>
    <w:rsid w:val="00390068"/>
    <w:rsid w:val="00393516"/>
    <w:rsid w:val="003A38E9"/>
    <w:rsid w:val="003A4E0E"/>
    <w:rsid w:val="003B5E14"/>
    <w:rsid w:val="003C2E37"/>
    <w:rsid w:val="003D0B3C"/>
    <w:rsid w:val="003D0CDC"/>
    <w:rsid w:val="003D685C"/>
    <w:rsid w:val="003D6DBD"/>
    <w:rsid w:val="003E00B5"/>
    <w:rsid w:val="003E3268"/>
    <w:rsid w:val="003E6BB2"/>
    <w:rsid w:val="003F2F06"/>
    <w:rsid w:val="003F488F"/>
    <w:rsid w:val="003F714C"/>
    <w:rsid w:val="00405C0A"/>
    <w:rsid w:val="0041096D"/>
    <w:rsid w:val="00414AF0"/>
    <w:rsid w:val="00414F2C"/>
    <w:rsid w:val="00416F51"/>
    <w:rsid w:val="004240C4"/>
    <w:rsid w:val="00426DEC"/>
    <w:rsid w:val="00427CC4"/>
    <w:rsid w:val="00450B34"/>
    <w:rsid w:val="004606A7"/>
    <w:rsid w:val="004616BE"/>
    <w:rsid w:val="00462F0F"/>
    <w:rsid w:val="004671AD"/>
    <w:rsid w:val="004851D1"/>
    <w:rsid w:val="00491065"/>
    <w:rsid w:val="004A21F7"/>
    <w:rsid w:val="004A5E5D"/>
    <w:rsid w:val="004B438E"/>
    <w:rsid w:val="004B747B"/>
    <w:rsid w:val="004C63AF"/>
    <w:rsid w:val="004D596F"/>
    <w:rsid w:val="004D7537"/>
    <w:rsid w:val="004F5C05"/>
    <w:rsid w:val="004F6C12"/>
    <w:rsid w:val="004F7F60"/>
    <w:rsid w:val="005056B4"/>
    <w:rsid w:val="00516EF2"/>
    <w:rsid w:val="00520AD6"/>
    <w:rsid w:val="00530BFF"/>
    <w:rsid w:val="00535184"/>
    <w:rsid w:val="0053749F"/>
    <w:rsid w:val="00546B56"/>
    <w:rsid w:val="005518A4"/>
    <w:rsid w:val="00551FD9"/>
    <w:rsid w:val="00553A4C"/>
    <w:rsid w:val="00554335"/>
    <w:rsid w:val="005565CE"/>
    <w:rsid w:val="00565BBC"/>
    <w:rsid w:val="005708AE"/>
    <w:rsid w:val="00580A5B"/>
    <w:rsid w:val="005826C0"/>
    <w:rsid w:val="00586F30"/>
    <w:rsid w:val="005A0FA9"/>
    <w:rsid w:val="005A507F"/>
    <w:rsid w:val="005A72A2"/>
    <w:rsid w:val="005B04F4"/>
    <w:rsid w:val="005B07E8"/>
    <w:rsid w:val="005C5932"/>
    <w:rsid w:val="005C6817"/>
    <w:rsid w:val="005D00FC"/>
    <w:rsid w:val="005D06D7"/>
    <w:rsid w:val="005D6959"/>
    <w:rsid w:val="005E0245"/>
    <w:rsid w:val="005F0741"/>
    <w:rsid w:val="005F393C"/>
    <w:rsid w:val="005F3941"/>
    <w:rsid w:val="005F6786"/>
    <w:rsid w:val="00607681"/>
    <w:rsid w:val="00616043"/>
    <w:rsid w:val="00620B28"/>
    <w:rsid w:val="00622247"/>
    <w:rsid w:val="00622692"/>
    <w:rsid w:val="00640B2C"/>
    <w:rsid w:val="0064226A"/>
    <w:rsid w:val="0065012C"/>
    <w:rsid w:val="00652069"/>
    <w:rsid w:val="006600F0"/>
    <w:rsid w:val="00663E87"/>
    <w:rsid w:val="00666B15"/>
    <w:rsid w:val="00667CAD"/>
    <w:rsid w:val="00670F48"/>
    <w:rsid w:val="00672A98"/>
    <w:rsid w:val="00681D5E"/>
    <w:rsid w:val="006870F9"/>
    <w:rsid w:val="006A0304"/>
    <w:rsid w:val="006A52C3"/>
    <w:rsid w:val="006C0257"/>
    <w:rsid w:val="006C0E29"/>
    <w:rsid w:val="006C6C13"/>
    <w:rsid w:val="006C786E"/>
    <w:rsid w:val="006D1066"/>
    <w:rsid w:val="006D30FE"/>
    <w:rsid w:val="006D3757"/>
    <w:rsid w:val="006D45FD"/>
    <w:rsid w:val="006D6D35"/>
    <w:rsid w:val="006E19CD"/>
    <w:rsid w:val="006E6BBC"/>
    <w:rsid w:val="006F262E"/>
    <w:rsid w:val="006F3204"/>
    <w:rsid w:val="006F585B"/>
    <w:rsid w:val="006F7348"/>
    <w:rsid w:val="006F796D"/>
    <w:rsid w:val="0070155F"/>
    <w:rsid w:val="007372A4"/>
    <w:rsid w:val="00741B04"/>
    <w:rsid w:val="00743DD2"/>
    <w:rsid w:val="00756249"/>
    <w:rsid w:val="0075638C"/>
    <w:rsid w:val="0076115C"/>
    <w:rsid w:val="00766393"/>
    <w:rsid w:val="007664F3"/>
    <w:rsid w:val="007840D7"/>
    <w:rsid w:val="00786108"/>
    <w:rsid w:val="007907EC"/>
    <w:rsid w:val="0079197C"/>
    <w:rsid w:val="007A35B9"/>
    <w:rsid w:val="007B77D6"/>
    <w:rsid w:val="007C0B6E"/>
    <w:rsid w:val="007D4836"/>
    <w:rsid w:val="007E2331"/>
    <w:rsid w:val="007E2C84"/>
    <w:rsid w:val="007E3545"/>
    <w:rsid w:val="007F0095"/>
    <w:rsid w:val="007F61FC"/>
    <w:rsid w:val="00820D1A"/>
    <w:rsid w:val="008338F7"/>
    <w:rsid w:val="00836397"/>
    <w:rsid w:val="00845054"/>
    <w:rsid w:val="00852D1C"/>
    <w:rsid w:val="00856147"/>
    <w:rsid w:val="00860F40"/>
    <w:rsid w:val="008615C9"/>
    <w:rsid w:val="00864020"/>
    <w:rsid w:val="00864173"/>
    <w:rsid w:val="00871C0C"/>
    <w:rsid w:val="00873920"/>
    <w:rsid w:val="008979D5"/>
    <w:rsid w:val="008A2A8D"/>
    <w:rsid w:val="008A4C3B"/>
    <w:rsid w:val="008A56B3"/>
    <w:rsid w:val="008B2AD7"/>
    <w:rsid w:val="008C5F92"/>
    <w:rsid w:val="008C6376"/>
    <w:rsid w:val="008C7BE2"/>
    <w:rsid w:val="008D6B7E"/>
    <w:rsid w:val="008D7586"/>
    <w:rsid w:val="008D7845"/>
    <w:rsid w:val="008E79C8"/>
    <w:rsid w:val="008F0686"/>
    <w:rsid w:val="008F142B"/>
    <w:rsid w:val="008F1838"/>
    <w:rsid w:val="008F5D89"/>
    <w:rsid w:val="008F7649"/>
    <w:rsid w:val="009031EA"/>
    <w:rsid w:val="009138F9"/>
    <w:rsid w:val="0092054F"/>
    <w:rsid w:val="00923B23"/>
    <w:rsid w:val="009255BD"/>
    <w:rsid w:val="00937ED0"/>
    <w:rsid w:val="00944DA7"/>
    <w:rsid w:val="00952797"/>
    <w:rsid w:val="00956637"/>
    <w:rsid w:val="009737ED"/>
    <w:rsid w:val="0097449E"/>
    <w:rsid w:val="009777D3"/>
    <w:rsid w:val="00984E15"/>
    <w:rsid w:val="009859E6"/>
    <w:rsid w:val="00990952"/>
    <w:rsid w:val="0099797D"/>
    <w:rsid w:val="009A0A5D"/>
    <w:rsid w:val="009A7957"/>
    <w:rsid w:val="009C3EEA"/>
    <w:rsid w:val="009C6933"/>
    <w:rsid w:val="009C7445"/>
    <w:rsid w:val="009D0759"/>
    <w:rsid w:val="009E08DD"/>
    <w:rsid w:val="009E4D57"/>
    <w:rsid w:val="009F3F6B"/>
    <w:rsid w:val="009F7BC2"/>
    <w:rsid w:val="00A04C7A"/>
    <w:rsid w:val="00A058E5"/>
    <w:rsid w:val="00A0699D"/>
    <w:rsid w:val="00A10C1A"/>
    <w:rsid w:val="00A10F51"/>
    <w:rsid w:val="00A13A8C"/>
    <w:rsid w:val="00A2072E"/>
    <w:rsid w:val="00A237BB"/>
    <w:rsid w:val="00A34EA3"/>
    <w:rsid w:val="00A41D89"/>
    <w:rsid w:val="00A44A9E"/>
    <w:rsid w:val="00A458ED"/>
    <w:rsid w:val="00A479D2"/>
    <w:rsid w:val="00A509AB"/>
    <w:rsid w:val="00A5494C"/>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283D"/>
    <w:rsid w:val="00AB3A62"/>
    <w:rsid w:val="00AB41D8"/>
    <w:rsid w:val="00AC663C"/>
    <w:rsid w:val="00AC682E"/>
    <w:rsid w:val="00AD312E"/>
    <w:rsid w:val="00AE3EAF"/>
    <w:rsid w:val="00AF54F8"/>
    <w:rsid w:val="00B024B0"/>
    <w:rsid w:val="00B104B9"/>
    <w:rsid w:val="00B14866"/>
    <w:rsid w:val="00B1527A"/>
    <w:rsid w:val="00B169C7"/>
    <w:rsid w:val="00B34EDA"/>
    <w:rsid w:val="00B35A87"/>
    <w:rsid w:val="00B465D2"/>
    <w:rsid w:val="00B50797"/>
    <w:rsid w:val="00B51241"/>
    <w:rsid w:val="00B51748"/>
    <w:rsid w:val="00B57198"/>
    <w:rsid w:val="00B67B97"/>
    <w:rsid w:val="00B85023"/>
    <w:rsid w:val="00BA1216"/>
    <w:rsid w:val="00BA2456"/>
    <w:rsid w:val="00BA469B"/>
    <w:rsid w:val="00BB4A5B"/>
    <w:rsid w:val="00BB7249"/>
    <w:rsid w:val="00BC1CBC"/>
    <w:rsid w:val="00BE48FD"/>
    <w:rsid w:val="00BF2534"/>
    <w:rsid w:val="00BF2880"/>
    <w:rsid w:val="00BF79DC"/>
    <w:rsid w:val="00C0009B"/>
    <w:rsid w:val="00C00B73"/>
    <w:rsid w:val="00C019E3"/>
    <w:rsid w:val="00C2594A"/>
    <w:rsid w:val="00C35DE1"/>
    <w:rsid w:val="00C3795C"/>
    <w:rsid w:val="00C524AA"/>
    <w:rsid w:val="00C528C4"/>
    <w:rsid w:val="00C54689"/>
    <w:rsid w:val="00C7035B"/>
    <w:rsid w:val="00C81590"/>
    <w:rsid w:val="00C81B3A"/>
    <w:rsid w:val="00C84AE0"/>
    <w:rsid w:val="00C85A14"/>
    <w:rsid w:val="00C90915"/>
    <w:rsid w:val="00CA3F84"/>
    <w:rsid w:val="00CB2B3D"/>
    <w:rsid w:val="00CB6C08"/>
    <w:rsid w:val="00CC6E74"/>
    <w:rsid w:val="00CD0DCA"/>
    <w:rsid w:val="00CE5855"/>
    <w:rsid w:val="00CF4E52"/>
    <w:rsid w:val="00D00A9B"/>
    <w:rsid w:val="00D12F61"/>
    <w:rsid w:val="00D201C6"/>
    <w:rsid w:val="00D476D0"/>
    <w:rsid w:val="00D544E0"/>
    <w:rsid w:val="00D638E0"/>
    <w:rsid w:val="00D65016"/>
    <w:rsid w:val="00D716BA"/>
    <w:rsid w:val="00D720FF"/>
    <w:rsid w:val="00D83C90"/>
    <w:rsid w:val="00D8404D"/>
    <w:rsid w:val="00D8587E"/>
    <w:rsid w:val="00D87C12"/>
    <w:rsid w:val="00D94382"/>
    <w:rsid w:val="00DB05EB"/>
    <w:rsid w:val="00DB191A"/>
    <w:rsid w:val="00DC2952"/>
    <w:rsid w:val="00DC3FB8"/>
    <w:rsid w:val="00DF1AB7"/>
    <w:rsid w:val="00E0034B"/>
    <w:rsid w:val="00E034EB"/>
    <w:rsid w:val="00E07C02"/>
    <w:rsid w:val="00E10472"/>
    <w:rsid w:val="00E11540"/>
    <w:rsid w:val="00E12B06"/>
    <w:rsid w:val="00E15BF6"/>
    <w:rsid w:val="00E355B1"/>
    <w:rsid w:val="00E44095"/>
    <w:rsid w:val="00E4514A"/>
    <w:rsid w:val="00E513E6"/>
    <w:rsid w:val="00E54005"/>
    <w:rsid w:val="00E71CB9"/>
    <w:rsid w:val="00E73698"/>
    <w:rsid w:val="00E75E13"/>
    <w:rsid w:val="00E77E23"/>
    <w:rsid w:val="00E8251C"/>
    <w:rsid w:val="00E844A0"/>
    <w:rsid w:val="00E862B8"/>
    <w:rsid w:val="00EA248E"/>
    <w:rsid w:val="00EA5BF6"/>
    <w:rsid w:val="00EB3AD3"/>
    <w:rsid w:val="00EB7634"/>
    <w:rsid w:val="00EC1A17"/>
    <w:rsid w:val="00ED2159"/>
    <w:rsid w:val="00EE4C51"/>
    <w:rsid w:val="00EE5945"/>
    <w:rsid w:val="00F13ED2"/>
    <w:rsid w:val="00F15E84"/>
    <w:rsid w:val="00F17D96"/>
    <w:rsid w:val="00F27ACB"/>
    <w:rsid w:val="00F3616F"/>
    <w:rsid w:val="00F40047"/>
    <w:rsid w:val="00F51506"/>
    <w:rsid w:val="00F54900"/>
    <w:rsid w:val="00F6418D"/>
    <w:rsid w:val="00F6618F"/>
    <w:rsid w:val="00F70DD5"/>
    <w:rsid w:val="00F73165"/>
    <w:rsid w:val="00F76B61"/>
    <w:rsid w:val="00F80A86"/>
    <w:rsid w:val="00F85C24"/>
    <w:rsid w:val="00F90BCE"/>
    <w:rsid w:val="00F90C3D"/>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B20E19DB-DA13-49F0-B289-5825DE7A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48873463">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6569341">
      <w:bodyDiv w:val="1"/>
      <w:marLeft w:val="0"/>
      <w:marRight w:val="0"/>
      <w:marTop w:val="0"/>
      <w:marBottom w:val="0"/>
      <w:divBdr>
        <w:top w:val="none" w:sz="0" w:space="0" w:color="auto"/>
        <w:left w:val="none" w:sz="0" w:space="0" w:color="auto"/>
        <w:bottom w:val="none" w:sz="0" w:space="0" w:color="auto"/>
        <w:right w:val="none" w:sz="0" w:space="0" w:color="auto"/>
      </w:divBdr>
    </w:div>
    <w:div w:id="1268194073">
      <w:bodyDiv w:val="1"/>
      <w:marLeft w:val="0"/>
      <w:marRight w:val="0"/>
      <w:marTop w:val="0"/>
      <w:marBottom w:val="0"/>
      <w:divBdr>
        <w:top w:val="none" w:sz="0" w:space="0" w:color="auto"/>
        <w:left w:val="none" w:sz="0" w:space="0" w:color="auto"/>
        <w:bottom w:val="none" w:sz="0" w:space="0" w:color="auto"/>
        <w:right w:val="none" w:sz="0" w:space="0" w:color="auto"/>
      </w:divBdr>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0183">
      <w:bodyDiv w:val="1"/>
      <w:marLeft w:val="0"/>
      <w:marRight w:val="0"/>
      <w:marTop w:val="0"/>
      <w:marBottom w:val="0"/>
      <w:divBdr>
        <w:top w:val="none" w:sz="0" w:space="0" w:color="auto"/>
        <w:left w:val="none" w:sz="0" w:space="0" w:color="auto"/>
        <w:bottom w:val="none" w:sz="0" w:space="0" w:color="auto"/>
        <w:right w:val="none" w:sz="0" w:space="0" w:color="auto"/>
      </w:divBdr>
      <w:divsChild>
        <w:div w:id="1099789646">
          <w:marLeft w:val="0"/>
          <w:marRight w:val="0"/>
          <w:marTop w:val="0"/>
          <w:marBottom w:val="0"/>
          <w:divBdr>
            <w:top w:val="none" w:sz="0" w:space="0" w:color="auto"/>
            <w:left w:val="none" w:sz="0" w:space="0" w:color="auto"/>
            <w:bottom w:val="none" w:sz="0" w:space="0" w:color="auto"/>
            <w:right w:val="none" w:sz="0" w:space="0" w:color="auto"/>
          </w:divBdr>
          <w:divsChild>
            <w:div w:id="1839425134">
              <w:marLeft w:val="0"/>
              <w:marRight w:val="0"/>
              <w:marTop w:val="0"/>
              <w:marBottom w:val="0"/>
              <w:divBdr>
                <w:top w:val="none" w:sz="0" w:space="0" w:color="auto"/>
                <w:left w:val="none" w:sz="0" w:space="0" w:color="auto"/>
                <w:bottom w:val="none" w:sz="0" w:space="0" w:color="auto"/>
                <w:right w:val="none" w:sz="0" w:space="0" w:color="auto"/>
              </w:divBdr>
              <w:divsChild>
                <w:div w:id="672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sChild>
        <w:div w:id="91971767">
          <w:marLeft w:val="0"/>
          <w:marRight w:val="0"/>
          <w:marTop w:val="0"/>
          <w:marBottom w:val="0"/>
          <w:divBdr>
            <w:top w:val="none" w:sz="0" w:space="0" w:color="auto"/>
            <w:left w:val="none" w:sz="0" w:space="0" w:color="auto"/>
            <w:bottom w:val="none" w:sz="0" w:space="0" w:color="auto"/>
            <w:right w:val="none" w:sz="0" w:space="0" w:color="auto"/>
          </w:divBdr>
          <w:divsChild>
            <w:div w:id="1000545429">
              <w:marLeft w:val="0"/>
              <w:marRight w:val="0"/>
              <w:marTop w:val="0"/>
              <w:marBottom w:val="0"/>
              <w:divBdr>
                <w:top w:val="none" w:sz="0" w:space="0" w:color="auto"/>
                <w:left w:val="none" w:sz="0" w:space="0" w:color="auto"/>
                <w:bottom w:val="none" w:sz="0" w:space="0" w:color="auto"/>
                <w:right w:val="none" w:sz="0" w:space="0" w:color="auto"/>
              </w:divBdr>
              <w:divsChild>
                <w:div w:id="507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4406">
      <w:bodyDiv w:val="1"/>
      <w:marLeft w:val="0"/>
      <w:marRight w:val="0"/>
      <w:marTop w:val="0"/>
      <w:marBottom w:val="0"/>
      <w:divBdr>
        <w:top w:val="none" w:sz="0" w:space="0" w:color="auto"/>
        <w:left w:val="none" w:sz="0" w:space="0" w:color="auto"/>
        <w:bottom w:val="none" w:sz="0" w:space="0" w:color="auto"/>
        <w:right w:val="none" w:sz="0" w:space="0" w:color="auto"/>
      </w:divBdr>
      <w:divsChild>
        <w:div w:id="1208689376">
          <w:marLeft w:val="0"/>
          <w:marRight w:val="0"/>
          <w:marTop w:val="0"/>
          <w:marBottom w:val="0"/>
          <w:divBdr>
            <w:top w:val="none" w:sz="0" w:space="0" w:color="auto"/>
            <w:left w:val="none" w:sz="0" w:space="0" w:color="auto"/>
            <w:bottom w:val="none" w:sz="0" w:space="0" w:color="auto"/>
            <w:right w:val="none" w:sz="0" w:space="0" w:color="auto"/>
          </w:divBdr>
          <w:divsChild>
            <w:div w:id="949897803">
              <w:marLeft w:val="0"/>
              <w:marRight w:val="0"/>
              <w:marTop w:val="0"/>
              <w:marBottom w:val="0"/>
              <w:divBdr>
                <w:top w:val="none" w:sz="0" w:space="0" w:color="auto"/>
                <w:left w:val="none" w:sz="0" w:space="0" w:color="auto"/>
                <w:bottom w:val="none" w:sz="0" w:space="0" w:color="auto"/>
                <w:right w:val="none" w:sz="0" w:space="0" w:color="auto"/>
              </w:divBdr>
              <w:divsChild>
                <w:div w:id="2079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steopathyboard.gov.au/News/Newsletters/April-2016.aspx" TargetMode="External"/><Relationship Id="rId13" Type="http://schemas.openxmlformats.org/officeDocument/2006/relationships/hyperlink" Target="https://mobile.twitter.com/AHPR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ingfeedback@ahpr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What-We-Do/Statistic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steopathyboard.gov.au/News/2016-04-08-osteopathy-regulat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pra.gov.au/National-Boards/National-Boards-recruitment.aspx" TargetMode="External"/><Relationship Id="rId14" Type="http://schemas.openxmlformats.org/officeDocument/2006/relationships/hyperlink" Target="http://www.osteopathyboar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1EAC-A54A-478B-941B-76D42CB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Osteopathy Board - Communique - Meeting of the Osteopathy Board of Australia - 25 June 2015</vt:lpstr>
    </vt:vector>
  </TitlesOfParts>
  <Company>Johanna Villani Design</Company>
  <LinksUpToDate>false</LinksUpToDate>
  <CharactersWithSpaces>4697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- 28 April 2016</dc:title>
  <dc:subject>Communique</dc:subject>
  <dc:creator>Osteopathy Board</dc:creator>
  <cp:lastModifiedBy>Gareth Meade</cp:lastModifiedBy>
  <cp:revision>2</cp:revision>
  <cp:lastPrinted>2012-02-10T00:45:00Z</cp:lastPrinted>
  <dcterms:created xsi:type="dcterms:W3CDTF">2016-05-10T05:24:00Z</dcterms:created>
  <dcterms:modified xsi:type="dcterms:W3CDTF">2016-05-10T05:24:00Z</dcterms:modified>
</cp:coreProperties>
</file>