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p>
    <w:p w:rsidR="009138F9" w:rsidRDefault="007D008B" w:rsidP="000E29C2">
      <w:pPr>
        <w:spacing w:line="360" w:lineRule="auto"/>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pt;margin-top:2pt;width:160.3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"/>
        </w:pict>
      </w:r>
    </w:p>
    <w:p w:rsidR="00622247" w:rsidRDefault="00A0699D" w:rsidP="00984E15">
      <w:pPr>
        <w:pStyle w:val="AHPRADocumentsubheading"/>
      </w:pPr>
      <w:r>
        <w:t>December</w:t>
      </w:r>
      <w:r w:rsidR="00C7035B">
        <w:t xml:space="preserve"> 2015</w:t>
      </w:r>
      <w:r w:rsidR="00984E15" w:rsidRPr="00984E15">
        <w:t xml:space="preserve"> meeting of the Osteopathy Board of Australia</w:t>
      </w:r>
    </w:p>
    <w:p w:rsidR="00312836" w:rsidRDefault="00984E15">
      <w:pPr>
        <w:pStyle w:val="AHPRABody0"/>
      </w:pPr>
      <w:r>
        <w:rPr>
          <w:color w:val="000000"/>
        </w:rPr>
        <w:t xml:space="preserve">The </w:t>
      </w:r>
      <w:r w:rsidR="00A802C1">
        <w:rPr>
          <w:color w:val="000000"/>
        </w:rPr>
        <w:t>7</w:t>
      </w:r>
      <w:r w:rsidR="000542EA">
        <w:rPr>
          <w:color w:val="000000"/>
        </w:rPr>
        <w:t>5</w:t>
      </w:r>
      <w:r w:rsidR="007F61FC" w:rsidRPr="007F61FC">
        <w:rPr>
          <w:color w:val="000000"/>
          <w:vertAlign w:val="superscript"/>
        </w:rPr>
        <w:t>th</w:t>
      </w:r>
      <w:r w:rsidR="007F61FC">
        <w:rPr>
          <w:color w:val="000000"/>
        </w:rPr>
        <w:t xml:space="preserve"> </w:t>
      </w:r>
      <w:r w:rsidRPr="00DF1D2B">
        <w:rPr>
          <w:color w:val="000000"/>
        </w:rPr>
        <w:t xml:space="preserve">meeting of the Osteopathy Board of Australia </w:t>
      </w:r>
      <w:r>
        <w:rPr>
          <w:color w:val="000000"/>
        </w:rPr>
        <w:t>(the Board) was</w:t>
      </w:r>
      <w:r w:rsidRPr="00DF1D2B">
        <w:rPr>
          <w:color w:val="000000"/>
        </w:rPr>
        <w:t xml:space="preserve"> held</w:t>
      </w:r>
      <w:r>
        <w:rPr>
          <w:color w:val="000000"/>
        </w:rPr>
        <w:t xml:space="preserve"> on</w:t>
      </w:r>
      <w:r w:rsidRPr="00EE5AB8">
        <w:rPr>
          <w:lang w:val="en-GB"/>
        </w:rPr>
        <w:t xml:space="preserve"> </w:t>
      </w:r>
      <w:bookmarkStart w:id="0" w:name="_GoBack"/>
      <w:r w:rsidR="000542EA">
        <w:rPr>
          <w:lang w:val="en-GB"/>
        </w:rPr>
        <w:t>15 December</w:t>
      </w:r>
      <w:r w:rsidR="00C7035B">
        <w:rPr>
          <w:lang w:val="en-GB"/>
        </w:rPr>
        <w:t xml:space="preserve"> 2015</w:t>
      </w:r>
      <w:bookmarkEnd w:id="0"/>
      <w:r>
        <w:rPr>
          <w:lang w:val="en-GB"/>
        </w:rPr>
        <w:t xml:space="preserve"> in </w:t>
      </w:r>
      <w:r w:rsidR="00A802C1">
        <w:rPr>
          <w:lang w:val="en-GB"/>
        </w:rPr>
        <w:t>Melbourne</w:t>
      </w:r>
      <w:r>
        <w:t>. The Board publishes</w:t>
      </w:r>
      <w:r w:rsidRPr="00F362BF">
        <w:t xml:space="preserve"> this communiqué on our website and email</w:t>
      </w:r>
      <w:r>
        <w:t>s</w:t>
      </w:r>
      <w:r w:rsidRPr="00F362BF">
        <w:t xml:space="preserve"> it to a broad range of stakeholders. </w:t>
      </w:r>
      <w:r w:rsidRPr="00D97E48">
        <w:t xml:space="preserve">At each meeting, the Board considers a wide range of issues, many of which are routine and are </w:t>
      </w:r>
      <w:r>
        <w:t>not included in this communiqué</w:t>
      </w:r>
      <w:r w:rsidRPr="00F362BF">
        <w:t>.</w:t>
      </w:r>
    </w:p>
    <w:p w:rsidR="00C2594A" w:rsidRDefault="00C2594A">
      <w:pPr>
        <w:pStyle w:val="AHPRABody0"/>
      </w:pPr>
    </w:p>
    <w:p w:rsidR="009C3EEA" w:rsidRDefault="00BC1CBC">
      <w:pPr>
        <w:pStyle w:val="AHPRASubhead"/>
      </w:pPr>
      <w:r w:rsidRPr="00C2594A">
        <w:t>Revised standards for professional indemnity insurance arrangements</w:t>
      </w:r>
    </w:p>
    <w:p w:rsidR="00BC1CBC" w:rsidRDefault="00BC1CBC" w:rsidP="00BC1CBC">
      <w:pPr>
        <w:pStyle w:val="AHPRAbody"/>
      </w:pPr>
      <w:r>
        <w:t xml:space="preserve">The Board has published the revised professional indemnity insurance (PII) registration standard which will take effect </w:t>
      </w:r>
      <w:r w:rsidR="006C786E">
        <w:t xml:space="preserve">on </w:t>
      </w:r>
      <w:r w:rsidR="006C786E" w:rsidRPr="005F0741">
        <w:rPr>
          <w:b/>
        </w:rPr>
        <w:t xml:space="preserve">1 July </w:t>
      </w:r>
      <w:r w:rsidRPr="005F0741">
        <w:rPr>
          <w:b/>
        </w:rPr>
        <w:t>2016</w:t>
      </w:r>
      <w:r>
        <w:t xml:space="preserve">. The </w:t>
      </w:r>
      <w:r w:rsidR="006C786E">
        <w:t xml:space="preserve">revised </w:t>
      </w:r>
      <w:r>
        <w:t>registration standard</w:t>
      </w:r>
      <w:r w:rsidR="006C786E">
        <w:t xml:space="preserve"> and a fact sheet</w:t>
      </w:r>
      <w:r>
        <w:t xml:space="preserve"> are published on the Board’s </w:t>
      </w:r>
      <w:r w:rsidR="00766393" w:rsidRPr="00766393">
        <w:t xml:space="preserve">website under </w:t>
      </w:r>
      <w:hyperlink r:id="rId8" w:history="1">
        <w:r w:rsidR="00C2594A" w:rsidRPr="00C2594A">
          <w:rPr>
            <w:rStyle w:val="Hyperlink"/>
          </w:rPr>
          <w:t>Registration</w:t>
        </w:r>
        <w:r w:rsidR="00766393" w:rsidRPr="00766393">
          <w:rPr>
            <w:rStyle w:val="Hyperlink"/>
          </w:rPr>
          <w:t xml:space="preserve"> Standards</w:t>
        </w:r>
      </w:hyperlink>
      <w:r w:rsidR="00C2594A" w:rsidRPr="00C2594A">
        <w:t>.</w:t>
      </w:r>
    </w:p>
    <w:p w:rsidR="006C786E" w:rsidRDefault="00CC6E74" w:rsidP="00BC1CBC">
      <w:pPr>
        <w:pStyle w:val="AHPRAbody"/>
      </w:pPr>
      <w:r>
        <w:t xml:space="preserve">The Board also has a </w:t>
      </w:r>
      <w:hyperlink r:id="rId9" w:history="1">
        <w:r w:rsidRPr="00CC6E74">
          <w:rPr>
            <w:rStyle w:val="Hyperlink"/>
          </w:rPr>
          <w:t>news item</w:t>
        </w:r>
      </w:hyperlink>
      <w:r>
        <w:t xml:space="preserve"> </w:t>
      </w:r>
      <w:r w:rsidR="00C2594A">
        <w:t xml:space="preserve">on the website </w:t>
      </w:r>
      <w:r>
        <w:t xml:space="preserve">which explains </w:t>
      </w:r>
      <w:r w:rsidR="00EE5945">
        <w:t xml:space="preserve">the key changes, </w:t>
      </w:r>
      <w:r>
        <w:t>when these will come into effect</w:t>
      </w:r>
      <w:r w:rsidR="00071D70">
        <w:t>, and when the obligations will need to be met</w:t>
      </w:r>
      <w:r>
        <w:t>.</w:t>
      </w:r>
    </w:p>
    <w:p w:rsidR="009C3EEA" w:rsidRDefault="000E00BF">
      <w:pPr>
        <w:pStyle w:val="AHPRASubhead"/>
      </w:pPr>
      <w:r w:rsidRPr="00B724CB">
        <w:t xml:space="preserve">Accredited programs of study </w:t>
      </w:r>
    </w:p>
    <w:p w:rsidR="000E00BF" w:rsidRDefault="000E00BF" w:rsidP="000E00BF">
      <w:pPr>
        <w:autoSpaceDE w:val="0"/>
        <w:autoSpaceDN w:val="0"/>
        <w:adjustRightInd w:val="0"/>
        <w:rPr>
          <w:szCs w:val="20"/>
        </w:rPr>
      </w:pPr>
      <w:r w:rsidRPr="008141BF">
        <w:rPr>
          <w:szCs w:val="20"/>
        </w:rPr>
        <w:t xml:space="preserve">One of the objectives of the </w:t>
      </w:r>
      <w:r w:rsidR="00C2594A">
        <w:rPr>
          <w:szCs w:val="20"/>
        </w:rPr>
        <w:t xml:space="preserve">Health Practitioner Regulation </w:t>
      </w:r>
      <w:r w:rsidRPr="008141BF">
        <w:rPr>
          <w:szCs w:val="20"/>
        </w:rPr>
        <w:t>National Law</w:t>
      </w:r>
      <w:r w:rsidR="00C2594A">
        <w:rPr>
          <w:szCs w:val="20"/>
        </w:rPr>
        <w:t>, as in force in each state and territory (the National Law)</w:t>
      </w:r>
      <w:r w:rsidRPr="008141BF">
        <w:rPr>
          <w:szCs w:val="20"/>
        </w:rPr>
        <w:t xml:space="preserve"> is to facilitate the provision of high quality education and training of health practitioners. The National Law sets out the role of the Board and its appointed accreditation authority, the Austral</w:t>
      </w:r>
      <w:r>
        <w:rPr>
          <w:szCs w:val="20"/>
        </w:rPr>
        <w:t>as</w:t>
      </w:r>
      <w:r w:rsidRPr="008141BF">
        <w:rPr>
          <w:szCs w:val="20"/>
        </w:rPr>
        <w:t xml:space="preserve">ian Osteopathic </w:t>
      </w:r>
      <w:r>
        <w:rPr>
          <w:szCs w:val="20"/>
        </w:rPr>
        <w:t xml:space="preserve">Accreditation </w:t>
      </w:r>
      <w:r w:rsidRPr="008141BF">
        <w:rPr>
          <w:szCs w:val="20"/>
        </w:rPr>
        <w:t>Council (AO</w:t>
      </w:r>
      <w:r>
        <w:rPr>
          <w:szCs w:val="20"/>
        </w:rPr>
        <w:t>A</w:t>
      </w:r>
      <w:r w:rsidRPr="008141BF">
        <w:rPr>
          <w:szCs w:val="20"/>
        </w:rPr>
        <w:t>C), in relation to the accreditation and approval of education providers and programs of study for the osteopathy profession.</w:t>
      </w:r>
    </w:p>
    <w:p w:rsidR="000E00BF" w:rsidRPr="00B724CB" w:rsidRDefault="000E00BF" w:rsidP="000E00BF">
      <w:pPr>
        <w:autoSpaceDE w:val="0"/>
        <w:autoSpaceDN w:val="0"/>
        <w:adjustRightInd w:val="0"/>
        <w:rPr>
          <w:szCs w:val="20"/>
        </w:rPr>
      </w:pPr>
      <w:r>
        <w:rPr>
          <w:szCs w:val="20"/>
        </w:rPr>
        <w:t>The AOAC</w:t>
      </w:r>
      <w:r w:rsidRPr="00B724CB">
        <w:rPr>
          <w:szCs w:val="20"/>
        </w:rPr>
        <w:t xml:space="preserve"> is responsible for accrediting individual programs of study after it is reasonably satisfied that:</w:t>
      </w:r>
    </w:p>
    <w:p w:rsidR="009C3EEA" w:rsidRDefault="000E00BF">
      <w:pPr>
        <w:pStyle w:val="Bulletedlist"/>
      </w:pPr>
      <w:r w:rsidRPr="00B724CB">
        <w:t>the program of study meets an accreditation standard</w:t>
      </w:r>
      <w:r w:rsidR="00C2594A">
        <w:t>,</w:t>
      </w:r>
      <w:r w:rsidRPr="00B724CB">
        <w:t xml:space="preserve"> or</w:t>
      </w:r>
    </w:p>
    <w:p w:rsidR="009C3EEA" w:rsidRDefault="000E00BF">
      <w:pPr>
        <w:pStyle w:val="Bulletedlist"/>
      </w:pPr>
      <w:r w:rsidRPr="00B724CB">
        <w:t>substantially meets an approved accreditation standard and the imposition of conditions on the approval will ensure the program meets the standard within a reasonable time frame.</w:t>
      </w:r>
    </w:p>
    <w:p w:rsidR="009C3EEA" w:rsidRDefault="009C3EEA">
      <w:pPr>
        <w:pStyle w:val="Bulletedlist"/>
        <w:numPr>
          <w:ilvl w:val="0"/>
          <w:numId w:val="0"/>
        </w:numPr>
        <w:ind w:left="340"/>
      </w:pPr>
    </w:p>
    <w:p w:rsidR="009C3EEA" w:rsidRDefault="000E00BF">
      <w:pPr>
        <w:pStyle w:val="AHPRABody0"/>
      </w:pPr>
      <w:r>
        <w:t>The AOAC</w:t>
      </w:r>
      <w:r w:rsidRPr="00B724CB">
        <w:t xml:space="preserve"> can also refuse to accredit a program of study.</w:t>
      </w:r>
      <w:r>
        <w:t xml:space="preserve"> The AOAC</w:t>
      </w:r>
      <w:r w:rsidRPr="00B724CB">
        <w:t xml:space="preserve"> must give the Board a report after it decides to accredit a program of study (with or without conditions).</w:t>
      </w:r>
      <w:r>
        <w:t xml:space="preserve"> </w:t>
      </w:r>
      <w:r w:rsidRPr="00B724CB">
        <w:t>After being given an accreditation report, the Board may approve, or refuse to approve, the accredited program of study as providing a qualification for the purposes of registration. An approval may be granted subject to conditions.</w:t>
      </w:r>
    </w:p>
    <w:p w:rsidR="009C3EEA" w:rsidRDefault="009C3EEA">
      <w:pPr>
        <w:pStyle w:val="AHPRABody0"/>
      </w:pPr>
    </w:p>
    <w:p w:rsidR="009C3EEA" w:rsidRDefault="000E00BF">
      <w:pPr>
        <w:pStyle w:val="AHPRABody0"/>
      </w:pPr>
      <w:r w:rsidRPr="003A1B2A">
        <w:t xml:space="preserve">Programs of study approved by the Board are published </w:t>
      </w:r>
      <w:r>
        <w:t xml:space="preserve">on the Board’s </w:t>
      </w:r>
      <w:hyperlink r:id="rId10" w:history="1">
        <w:r w:rsidRPr="000E00BF">
          <w:rPr>
            <w:rStyle w:val="Hyperlink"/>
          </w:rPr>
          <w:t>website</w:t>
        </w:r>
      </w:hyperlink>
      <w:r>
        <w:t xml:space="preserve">. </w:t>
      </w:r>
    </w:p>
    <w:p w:rsidR="009C3EEA" w:rsidRDefault="009C3EEA">
      <w:pPr>
        <w:pStyle w:val="AHPRABody0"/>
      </w:pPr>
    </w:p>
    <w:p w:rsidR="009C3EEA" w:rsidRDefault="000E00BF">
      <w:pPr>
        <w:pStyle w:val="AHPRABody0"/>
      </w:pPr>
      <w:r>
        <w:t xml:space="preserve">The Board made the following decisions at the December meeting. </w:t>
      </w:r>
    </w:p>
    <w:p w:rsidR="009C3EEA" w:rsidRDefault="000E00BF">
      <w:pPr>
        <w:pStyle w:val="AHPRASubheadinglevel2"/>
      </w:pPr>
      <w:r w:rsidRPr="0099508D">
        <w:t>Approval of program</w:t>
      </w:r>
      <w:r>
        <w:t>s</w:t>
      </w:r>
      <w:r w:rsidRPr="0099508D">
        <w:t xml:space="preserve"> of study at </w:t>
      </w:r>
      <w:r>
        <w:t>Victoria University</w:t>
      </w:r>
    </w:p>
    <w:p w:rsidR="009C3EEA" w:rsidRDefault="004F7F60">
      <w:pPr>
        <w:pStyle w:val="AHPRABody0"/>
        <w:rPr>
          <w:color w:val="000000" w:themeColor="text1"/>
        </w:rPr>
      </w:pPr>
      <w:r w:rsidRPr="004F7F60">
        <w:rPr>
          <w:color w:val="000000" w:themeColor="text1"/>
        </w:rPr>
        <w:t>Under section 49(1) of the National Law, the Board decided to</w:t>
      </w:r>
      <w:r>
        <w:rPr>
          <w:color w:val="000000" w:themeColor="text1"/>
        </w:rPr>
        <w:t>:</w:t>
      </w:r>
    </w:p>
    <w:p w:rsidR="009C3EEA" w:rsidRDefault="009C3EEA">
      <w:pPr>
        <w:pStyle w:val="AHPRABody0"/>
        <w:rPr>
          <w:color w:val="000000" w:themeColor="text1"/>
        </w:rPr>
      </w:pPr>
    </w:p>
    <w:p w:rsidR="009C3EEA" w:rsidRDefault="004F7F60">
      <w:pPr>
        <w:pStyle w:val="Bulletedlist"/>
      </w:pPr>
      <w:r w:rsidRPr="004F7F60">
        <w:t>continue to approve the Bachelor of Science (Clinical Science) / Master of Health Science (Osteopathy) at Victoria University as providing a qualification for the purpose of registration in the osteopathy profession</w:t>
      </w:r>
      <w:r>
        <w:t>; which is the existing program of study</w:t>
      </w:r>
      <w:r w:rsidR="00C2594A">
        <w:t>,</w:t>
      </w:r>
      <w:r>
        <w:t xml:space="preserve"> and</w:t>
      </w:r>
    </w:p>
    <w:p w:rsidR="009C3EEA" w:rsidRDefault="004F7F60">
      <w:pPr>
        <w:pStyle w:val="Bulletedlist"/>
      </w:pPr>
      <w:r w:rsidRPr="004F7F60">
        <w:t>approve the Bachelor of Science (Osteopathy) / Master of Health Science (Osteopathy) at Victoria University as providing a qualification for the purpose of registration in the osteopathy profession</w:t>
      </w:r>
      <w:r>
        <w:t>; which is a new program of study commencing in early 2016.</w:t>
      </w:r>
    </w:p>
    <w:p w:rsidR="009C3EEA" w:rsidRDefault="00B169C7">
      <w:pPr>
        <w:pStyle w:val="AHPRASubhead"/>
        <w:spacing w:before="240"/>
      </w:pPr>
      <w:r w:rsidRPr="00B169C7">
        <w:t>New resources outline objectives and role of the National Scheme</w:t>
      </w:r>
    </w:p>
    <w:p w:rsidR="009C3EEA" w:rsidRDefault="00B169C7">
      <w:pPr>
        <w:pStyle w:val="AHPRABody0"/>
      </w:pPr>
      <w:r w:rsidRPr="00B169C7">
        <w:t xml:space="preserve">A new video and an accompanying infographic explaining the Australia-wide scheme that is in place to protect members of the public </w:t>
      </w:r>
      <w:r>
        <w:t>has recently been launched by the Australian Health Practitioner Regulation Agency (AHPRA).</w:t>
      </w:r>
    </w:p>
    <w:p w:rsidR="009C3EEA" w:rsidRDefault="00B169C7">
      <w:pPr>
        <w:pStyle w:val="AHPRABody0"/>
      </w:pPr>
      <w:r w:rsidRPr="00B169C7">
        <w:lastRenderedPageBreak/>
        <w:t xml:space="preserve">Working in partnership with the 14 National Boards, AHPRA helps regulate Australia’s 630,000 registered health practitioners through a national scheme. </w:t>
      </w:r>
    </w:p>
    <w:p w:rsidR="009C3EEA" w:rsidRDefault="009C3EEA">
      <w:pPr>
        <w:pStyle w:val="AHPRABody0"/>
      </w:pPr>
    </w:p>
    <w:p w:rsidR="009C3EEA" w:rsidRDefault="007D008B">
      <w:pPr>
        <w:pStyle w:val="AHPRABody0"/>
      </w:pPr>
      <w:hyperlink r:id="rId11" w:anchor="video" w:history="1">
        <w:r w:rsidR="00B169C7" w:rsidRPr="00B169C7">
          <w:rPr>
            <w:rStyle w:val="Hyperlink"/>
          </w:rPr>
          <w:t>The video</w:t>
        </w:r>
      </w:hyperlink>
      <w:r w:rsidR="00B169C7">
        <w:t xml:space="preserve"> </w:t>
      </w:r>
      <w:r w:rsidR="00B169C7" w:rsidRPr="00B169C7">
        <w:t xml:space="preserve">explains how the National Registration and Accreditation Scheme (National Scheme) works and how patients are protected. </w:t>
      </w:r>
    </w:p>
    <w:p w:rsidR="009C3EEA" w:rsidRDefault="009C3EEA">
      <w:pPr>
        <w:pStyle w:val="AHPRABody0"/>
      </w:pPr>
    </w:p>
    <w:p w:rsidR="00B169C7" w:rsidRPr="00B169C7" w:rsidRDefault="00B169C7">
      <w:pPr>
        <w:pStyle w:val="AHPRABody0"/>
      </w:pPr>
      <w:r w:rsidRPr="00B169C7">
        <w:t xml:space="preserve">Both resources are available on the </w:t>
      </w:r>
      <w:hyperlink r:id="rId12" w:history="1">
        <w:r w:rsidRPr="00B169C7">
          <w:rPr>
            <w:rStyle w:val="Hyperlink"/>
          </w:rPr>
          <w:t>What we do</w:t>
        </w:r>
      </w:hyperlink>
      <w:r w:rsidRPr="00B169C7">
        <w:t xml:space="preserve"> page of the AHPRA website. The video can also be watched on AHPRA’s </w:t>
      </w:r>
      <w:hyperlink r:id="rId13" w:history="1">
        <w:r w:rsidRPr="00B169C7">
          <w:rPr>
            <w:rStyle w:val="Hyperlink"/>
          </w:rPr>
          <w:t>YouTube channel.</w:t>
        </w:r>
      </w:hyperlink>
      <w:r w:rsidRPr="00B169C7">
        <w:t xml:space="preserve"> </w:t>
      </w:r>
    </w:p>
    <w:p w:rsidR="00C00B73" w:rsidRDefault="00336B22" w:rsidP="004F7F60">
      <w:pPr>
        <w:pStyle w:val="AHPRASubhead"/>
        <w:spacing w:before="240"/>
      </w:pPr>
      <w:r>
        <w:t>Employer obligations</w:t>
      </w:r>
    </w:p>
    <w:p w:rsidR="00336B22" w:rsidRDefault="00336B22" w:rsidP="00336B22">
      <w:pPr>
        <w:pStyle w:val="AHPRABody0"/>
      </w:pPr>
      <w:r w:rsidRPr="00336B22">
        <w:t>If you employ registered health practitioners, you have an important obligation to ensure that they hold current registration and that you understand your mandatory notification requirements under the National Law</w:t>
      </w:r>
      <w:r>
        <w:t>.</w:t>
      </w:r>
    </w:p>
    <w:p w:rsidR="00336B22" w:rsidRDefault="00336B22" w:rsidP="00336B22">
      <w:pPr>
        <w:pStyle w:val="AHPRABody0"/>
      </w:pPr>
    </w:p>
    <w:p w:rsidR="00336B22" w:rsidRDefault="00336B22">
      <w:pPr>
        <w:pStyle w:val="AHPRABody0"/>
      </w:pPr>
      <w:r>
        <w:t xml:space="preserve">AHPRA has published </w:t>
      </w:r>
      <w:hyperlink r:id="rId14" w:anchor="resources" w:history="1">
        <w:r w:rsidRPr="00336B22">
          <w:rPr>
            <w:rStyle w:val="Hyperlink"/>
          </w:rPr>
          <w:t>resources</w:t>
        </w:r>
      </w:hyperlink>
      <w:r>
        <w:t xml:space="preserve"> </w:t>
      </w:r>
      <w:r w:rsidRPr="00336B22">
        <w:t>to help you understand and meet your obligations, which are designed to complement your recruitment requirements and processes. These materials state exactly what your obligations are and it is important that you are familiar with them.</w:t>
      </w:r>
    </w:p>
    <w:p w:rsidR="000F71FB" w:rsidRPr="00984E15" w:rsidRDefault="000F71FB" w:rsidP="004F7F60">
      <w:pPr>
        <w:pStyle w:val="AHPRASubhead"/>
        <w:spacing w:before="240"/>
      </w:pPr>
      <w:r>
        <w:t>Quarterly registration data</w:t>
      </w:r>
    </w:p>
    <w:p w:rsidR="000E486F" w:rsidRPr="000E486F" w:rsidRDefault="000E486F" w:rsidP="000E486F">
      <w:pPr>
        <w:pStyle w:val="AHPRABody0"/>
        <w:rPr>
          <w:lang w:val="en-US"/>
        </w:rPr>
      </w:pPr>
      <w:r w:rsidRPr="000E486F">
        <w:rPr>
          <w:lang w:val="en-US"/>
        </w:rPr>
        <w:t xml:space="preserve">The Board </w:t>
      </w:r>
      <w:r w:rsidR="00B169C7">
        <w:rPr>
          <w:lang w:val="en-US"/>
        </w:rPr>
        <w:t>has recently published its</w:t>
      </w:r>
      <w:r w:rsidRPr="000E486F">
        <w:rPr>
          <w:lang w:val="en-US"/>
        </w:rPr>
        <w:t xml:space="preserve"> </w:t>
      </w:r>
      <w:hyperlink r:id="rId15" w:history="1">
        <w:r w:rsidRPr="00B169C7">
          <w:rPr>
            <w:rStyle w:val="Hyperlink"/>
            <w:lang w:val="en-US"/>
          </w:rPr>
          <w:t>quarterly data</w:t>
        </w:r>
      </w:hyperlink>
      <w:r w:rsidRPr="000E486F">
        <w:rPr>
          <w:lang w:val="en-US"/>
        </w:rPr>
        <w:t xml:space="preserve"> profiling Australia’s </w:t>
      </w:r>
      <w:r>
        <w:rPr>
          <w:lang w:val="en-US"/>
        </w:rPr>
        <w:t>osteopathy</w:t>
      </w:r>
      <w:r w:rsidRPr="000E486F">
        <w:rPr>
          <w:lang w:val="en-US"/>
        </w:rPr>
        <w:t xml:space="preserve"> registrants</w:t>
      </w:r>
      <w:r w:rsidR="00B169C7">
        <w:t>.</w:t>
      </w:r>
    </w:p>
    <w:p w:rsidR="000E486F" w:rsidRDefault="00BC1CBC" w:rsidP="00BC1CBC">
      <w:pPr>
        <w:pStyle w:val="AHPRABody0"/>
        <w:tabs>
          <w:tab w:val="left" w:pos="5801"/>
        </w:tabs>
        <w:rPr>
          <w:rFonts w:eastAsia="Cambria"/>
          <w:lang w:val="en-US" w:eastAsia="en-US"/>
        </w:rPr>
      </w:pPr>
      <w:r>
        <w:rPr>
          <w:rFonts w:eastAsia="Cambria"/>
          <w:lang w:val="en-US" w:eastAsia="en-US"/>
        </w:rPr>
        <w:tab/>
      </w:r>
    </w:p>
    <w:p w:rsidR="00312836" w:rsidRDefault="000E486F" w:rsidP="000E486F">
      <w:pPr>
        <w:pStyle w:val="AHPRABody0"/>
      </w:pPr>
      <w:r w:rsidRPr="000E486F">
        <w:rPr>
          <w:rFonts w:eastAsia="Cambria"/>
          <w:lang w:val="en-US" w:eastAsia="en-US"/>
        </w:rPr>
        <w:t>A</w:t>
      </w:r>
      <w:r w:rsidR="00B169C7">
        <w:rPr>
          <w:rFonts w:eastAsia="Cambria"/>
          <w:lang w:val="en-US" w:eastAsia="en-US"/>
        </w:rPr>
        <w:t>s at</w:t>
      </w:r>
      <w:r w:rsidRPr="000E486F">
        <w:rPr>
          <w:rFonts w:eastAsia="Cambria"/>
          <w:lang w:val="en-US" w:eastAsia="en-US"/>
        </w:rPr>
        <w:t xml:space="preserve"> September 2015, there were a total of </w:t>
      </w:r>
      <w:r>
        <w:rPr>
          <w:rFonts w:eastAsia="Cambria"/>
          <w:lang w:val="en-US" w:eastAsia="en-US"/>
        </w:rPr>
        <w:t>2,001</w:t>
      </w:r>
      <w:r w:rsidRPr="000E486F">
        <w:rPr>
          <w:rFonts w:eastAsia="Cambria"/>
          <w:lang w:val="en-US" w:eastAsia="en-US"/>
        </w:rPr>
        <w:t xml:space="preserve"> registered </w:t>
      </w:r>
      <w:r>
        <w:rPr>
          <w:rFonts w:eastAsia="Cambria"/>
          <w:lang w:val="en-US" w:eastAsia="en-US"/>
        </w:rPr>
        <w:t>osteopaths</w:t>
      </w:r>
      <w:r w:rsidRPr="000E486F">
        <w:rPr>
          <w:rFonts w:eastAsia="Cambria"/>
          <w:lang w:val="en-US" w:eastAsia="en-US"/>
        </w:rPr>
        <w:t xml:space="preserve"> comprising of the following number of registrants according to registration type:</w:t>
      </w:r>
    </w:p>
    <w:p w:rsidR="0075638C" w:rsidRPr="0075638C" w:rsidRDefault="0075638C" w:rsidP="0075638C">
      <w:pPr>
        <w:autoSpaceDE w:val="0"/>
        <w:autoSpaceDN w:val="0"/>
        <w:adjustRightInd w:val="0"/>
        <w:spacing w:before="0" w:after="0"/>
        <w:rPr>
          <w:rFonts w:ascii="Symbol" w:hAnsi="Symbol" w:cs="Symbol"/>
          <w:color w:val="000000"/>
          <w:sz w:val="24"/>
          <w:lang w:val="en-US"/>
        </w:rPr>
      </w:pPr>
      <w:r w:rsidRPr="0075638C">
        <w:rPr>
          <w:rFonts w:ascii="Symbol" w:hAnsi="Symbol" w:cs="Symbol"/>
          <w:color w:val="000000"/>
          <w:sz w:val="24"/>
          <w:lang w:val="en-US"/>
        </w:rPr>
        <w:t></w:t>
      </w:r>
    </w:p>
    <w:p w:rsidR="009C3EEA" w:rsidRDefault="00A0699D">
      <w:pPr>
        <w:pStyle w:val="Bulletedlist"/>
        <w:rPr>
          <w:lang w:val="en-US"/>
        </w:rPr>
      </w:pPr>
      <w:r w:rsidRPr="007C3511">
        <w:rPr>
          <w:rFonts w:eastAsia="Times New Roman"/>
        </w:rPr>
        <w:t>1,925</w:t>
      </w:r>
      <w:r w:rsidR="0075638C" w:rsidRPr="0075638C">
        <w:rPr>
          <w:lang w:val="en-US"/>
        </w:rPr>
        <w:t xml:space="preserve">– general registration </w:t>
      </w:r>
    </w:p>
    <w:p w:rsidR="009C3EEA" w:rsidRDefault="00A0699D">
      <w:pPr>
        <w:pStyle w:val="Bulletedlist"/>
        <w:rPr>
          <w:lang w:val="en-US"/>
        </w:rPr>
      </w:pPr>
      <w:r>
        <w:rPr>
          <w:lang w:val="en-US"/>
        </w:rPr>
        <w:t>11 – provisional registration</w:t>
      </w:r>
    </w:p>
    <w:p w:rsidR="009C3EEA" w:rsidRDefault="005D00FC">
      <w:pPr>
        <w:pStyle w:val="Bulletedlist"/>
        <w:rPr>
          <w:lang w:val="en-US"/>
        </w:rPr>
      </w:pPr>
      <w:r>
        <w:rPr>
          <w:lang w:val="en-US"/>
        </w:rPr>
        <w:t>1</w:t>
      </w:r>
      <w:r w:rsidR="0075638C" w:rsidRPr="0075638C">
        <w:rPr>
          <w:lang w:val="en-US"/>
        </w:rPr>
        <w:t xml:space="preserve"> – limited registration</w:t>
      </w:r>
      <w:r w:rsidR="00B169C7">
        <w:rPr>
          <w:lang w:val="en-US"/>
        </w:rPr>
        <w:t>, and</w:t>
      </w:r>
    </w:p>
    <w:p w:rsidR="009C3EEA" w:rsidRDefault="005D00FC">
      <w:pPr>
        <w:pStyle w:val="Bulletedlist"/>
        <w:rPr>
          <w:lang w:val="en-US"/>
        </w:rPr>
      </w:pPr>
      <w:r>
        <w:rPr>
          <w:lang w:val="en-US"/>
        </w:rPr>
        <w:t>64</w:t>
      </w:r>
      <w:r w:rsidR="0075638C" w:rsidRPr="0075638C">
        <w:rPr>
          <w:lang w:val="en-US"/>
        </w:rPr>
        <w:t xml:space="preserve"> – non-practising registration</w:t>
      </w:r>
      <w:r w:rsidR="00B169C7">
        <w:rPr>
          <w:lang w:val="en-US"/>
        </w:rPr>
        <w:t>.</w:t>
      </w:r>
    </w:p>
    <w:p w:rsidR="009C3EEA" w:rsidRDefault="009C3EEA">
      <w:pPr>
        <w:pStyle w:val="Bulletedlist"/>
        <w:numPr>
          <w:ilvl w:val="0"/>
          <w:numId w:val="0"/>
        </w:numPr>
        <w:ind w:left="340"/>
      </w:pPr>
    </w:p>
    <w:p w:rsidR="001004CD" w:rsidRPr="001004CD" w:rsidRDefault="001004CD" w:rsidP="001004CD">
      <w:pPr>
        <w:pStyle w:val="AHPRASubhead"/>
      </w:pPr>
      <w:r>
        <w:t>Osteopathy</w:t>
      </w:r>
      <w:r w:rsidRPr="001004CD">
        <w:t xml:space="preserve"> Board of Australia profession profile </w:t>
      </w:r>
    </w:p>
    <w:p w:rsidR="001004CD" w:rsidRPr="001004CD" w:rsidRDefault="001004CD" w:rsidP="001004CD">
      <w:pPr>
        <w:pStyle w:val="AHPRABody0"/>
        <w:rPr>
          <w:lang w:val="en-US"/>
        </w:rPr>
      </w:pPr>
      <w:r w:rsidRPr="001004CD">
        <w:rPr>
          <w:lang w:val="en-US"/>
        </w:rPr>
        <w:t xml:space="preserve">The Board will </w:t>
      </w:r>
      <w:r w:rsidR="00B169C7">
        <w:rPr>
          <w:lang w:val="en-US"/>
        </w:rPr>
        <w:t xml:space="preserve">soon </w:t>
      </w:r>
      <w:r w:rsidRPr="001004CD">
        <w:rPr>
          <w:lang w:val="en-US"/>
        </w:rPr>
        <w:t xml:space="preserve">publish a report of its work in </w:t>
      </w:r>
      <w:r w:rsidR="00A0699D">
        <w:rPr>
          <w:lang w:val="en-US"/>
        </w:rPr>
        <w:t>the osteopathy profession</w:t>
      </w:r>
      <w:r w:rsidRPr="001004CD">
        <w:rPr>
          <w:lang w:val="en-US"/>
        </w:rPr>
        <w:t xml:space="preserve"> in the National Scheme during 2014/15. </w:t>
      </w:r>
    </w:p>
    <w:p w:rsidR="001004CD" w:rsidRDefault="001004CD" w:rsidP="001004CD">
      <w:pPr>
        <w:pStyle w:val="AHPRABody0"/>
        <w:rPr>
          <w:lang w:val="en-US"/>
        </w:rPr>
      </w:pPr>
    </w:p>
    <w:p w:rsidR="001004CD" w:rsidRPr="001004CD" w:rsidRDefault="001004CD" w:rsidP="001004CD">
      <w:pPr>
        <w:pStyle w:val="AHPRABody0"/>
        <w:rPr>
          <w:lang w:val="en-US"/>
        </w:rPr>
      </w:pPr>
      <w:r w:rsidRPr="001004CD">
        <w:rPr>
          <w:lang w:val="en-US"/>
        </w:rPr>
        <w:t xml:space="preserve">The report provides a profession-specific view of the Board’s work to manage risk to the public. It is a profile of regulation at work for </w:t>
      </w:r>
      <w:r>
        <w:rPr>
          <w:lang w:val="en-US"/>
        </w:rPr>
        <w:t>osteopaths</w:t>
      </w:r>
      <w:r w:rsidRPr="001004CD">
        <w:rPr>
          <w:lang w:val="en-US"/>
        </w:rPr>
        <w:t xml:space="preserve"> in Australia for the 12 months ending 30 June 2015. </w:t>
      </w:r>
    </w:p>
    <w:p w:rsidR="001004CD" w:rsidRDefault="001004CD" w:rsidP="001004CD">
      <w:pPr>
        <w:pStyle w:val="AHPRASubhead"/>
        <w:spacing w:after="0"/>
        <w:rPr>
          <w:rFonts w:eastAsia="Cambria" w:cs="Arial"/>
          <w:b w:val="0"/>
          <w:color w:val="000000"/>
          <w:szCs w:val="20"/>
        </w:rPr>
      </w:pPr>
    </w:p>
    <w:p w:rsidR="001004CD" w:rsidRDefault="001004CD" w:rsidP="003A38E9">
      <w:pPr>
        <w:pStyle w:val="AHPRASubhead"/>
        <w:spacing w:after="0"/>
      </w:pPr>
      <w:r w:rsidRPr="001004CD">
        <w:rPr>
          <w:rFonts w:eastAsia="Cambria" w:cs="Arial"/>
          <w:b w:val="0"/>
          <w:color w:val="000000"/>
          <w:szCs w:val="20"/>
        </w:rPr>
        <w:t xml:space="preserve">The data in this report are drawn from data published in the </w:t>
      </w:r>
      <w:hyperlink r:id="rId16" w:history="1">
        <w:r w:rsidRPr="001004CD">
          <w:rPr>
            <w:rStyle w:val="Hyperlink"/>
            <w:rFonts w:eastAsia="Cambria" w:cs="Arial"/>
            <w:b w:val="0"/>
            <w:szCs w:val="20"/>
          </w:rPr>
          <w:t>2014/15 annual report</w:t>
        </w:r>
      </w:hyperlink>
      <w:r w:rsidRPr="001004CD">
        <w:rPr>
          <w:rFonts w:eastAsia="Cambria" w:cs="Arial"/>
          <w:b w:val="0"/>
          <w:color w:val="0000FF"/>
          <w:szCs w:val="20"/>
        </w:rPr>
        <w:t xml:space="preserve"> </w:t>
      </w:r>
      <w:r w:rsidRPr="001004CD">
        <w:rPr>
          <w:rFonts w:eastAsia="Cambria" w:cs="Arial"/>
          <w:b w:val="0"/>
          <w:color w:val="000000"/>
          <w:szCs w:val="20"/>
        </w:rPr>
        <w:t xml:space="preserve">of AHPRA and the National Boards, reporting on the National Scheme and will be available soon on the </w:t>
      </w:r>
      <w:hyperlink r:id="rId17" w:history="1">
        <w:r w:rsidRPr="001004CD">
          <w:rPr>
            <w:rStyle w:val="Hyperlink"/>
            <w:rFonts w:eastAsia="Cambria" w:cs="Arial"/>
            <w:b w:val="0"/>
            <w:szCs w:val="20"/>
          </w:rPr>
          <w:t>AHPRA website</w:t>
        </w:r>
      </w:hyperlink>
      <w:r w:rsidRPr="001004CD">
        <w:rPr>
          <w:rFonts w:eastAsia="Cambria" w:cs="Arial"/>
          <w:b w:val="0"/>
          <w:color w:val="000000"/>
          <w:szCs w:val="20"/>
        </w:rPr>
        <w:t>.</w:t>
      </w:r>
    </w:p>
    <w:p w:rsidR="00984E15" w:rsidRPr="00984E15" w:rsidRDefault="00984E15" w:rsidP="004F7F60">
      <w:pPr>
        <w:pStyle w:val="AHPRASubhead"/>
        <w:spacing w:before="240" w:after="0"/>
      </w:pPr>
      <w:r w:rsidRPr="00984E15">
        <w:t>Keeping in touch with the Board</w:t>
      </w:r>
    </w:p>
    <w:p w:rsidR="00B169C7" w:rsidRDefault="00B169C7">
      <w:pPr>
        <w:pStyle w:val="AHPRABody0"/>
      </w:pPr>
    </w:p>
    <w:p w:rsidR="00312836" w:rsidRDefault="00984E15">
      <w:pPr>
        <w:pStyle w:val="AHPRABody0"/>
      </w:pPr>
      <w:r>
        <w:t xml:space="preserve">The Board publishes a range of information about registration and the Board’s expectations of practitioners on its website at </w:t>
      </w:r>
      <w:hyperlink r:id="rId18"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2F2ED3" w:rsidRDefault="002F2ED3" w:rsidP="0092054F">
      <w:pPr>
        <w:spacing w:before="0" w:after="0"/>
        <w:rPr>
          <w:szCs w:val="20"/>
          <w:lang w:val="en-US"/>
        </w:rPr>
      </w:pPr>
    </w:p>
    <w:p w:rsidR="00E44095" w:rsidRDefault="00E44095" w:rsidP="0092054F">
      <w:pPr>
        <w:spacing w:before="0" w:after="0"/>
        <w:rPr>
          <w:szCs w:val="20"/>
          <w:lang w:val="en-US"/>
        </w:rPr>
      </w:pPr>
    </w:p>
    <w:p w:rsidR="00E44095" w:rsidRDefault="00E44095" w:rsidP="0092054F">
      <w:pPr>
        <w:spacing w:before="0" w:after="0"/>
        <w:rPr>
          <w:szCs w:val="20"/>
          <w:lang w:val="en-US"/>
        </w:rPr>
      </w:pPr>
    </w:p>
    <w:p w:rsidR="00312836" w:rsidRDefault="00984E15">
      <w:pPr>
        <w:pStyle w:val="AHPRABody0"/>
        <w:rPr>
          <w:lang w:val="en-US"/>
        </w:rPr>
      </w:pPr>
      <w:r w:rsidRPr="00AE3701">
        <w:rPr>
          <w:lang w:val="en-US"/>
        </w:rPr>
        <w:t xml:space="preserve">Dr </w:t>
      </w:r>
      <w:r>
        <w:rPr>
          <w:lang w:val="en-US"/>
        </w:rPr>
        <w:t>Nikole Grbin (Osteopath)</w:t>
      </w:r>
    </w:p>
    <w:p w:rsidR="003B5E14" w:rsidRDefault="00984E15" w:rsidP="0092054F">
      <w:pPr>
        <w:spacing w:before="0" w:after="0"/>
        <w:rPr>
          <w:color w:val="0070C0"/>
          <w:szCs w:val="20"/>
          <w:lang w:val="en-US"/>
        </w:rPr>
      </w:pPr>
      <w:r w:rsidRPr="007D493A">
        <w:rPr>
          <w:color w:val="0070C0"/>
          <w:szCs w:val="20"/>
          <w:lang w:val="en-US"/>
        </w:rPr>
        <w:t>Chair</w:t>
      </w:r>
    </w:p>
    <w:p w:rsidR="0092054F" w:rsidRDefault="002169EA" w:rsidP="0092054F">
      <w:pPr>
        <w:spacing w:before="0" w:after="0"/>
        <w:rPr>
          <w:szCs w:val="20"/>
          <w:lang w:val="en-US"/>
        </w:rPr>
      </w:pPr>
      <w:r>
        <w:rPr>
          <w:color w:val="0070C0"/>
          <w:szCs w:val="20"/>
          <w:lang w:val="en-US"/>
        </w:rPr>
        <w:t>Osteopathy Board of Australia</w:t>
      </w:r>
      <w:r w:rsidR="00984E15">
        <w:rPr>
          <w:color w:val="0070C0"/>
          <w:szCs w:val="20"/>
          <w:lang w:val="en-US"/>
        </w:rPr>
        <w:br/>
      </w:r>
    </w:p>
    <w:p w:rsidR="00312836" w:rsidRDefault="000542EA">
      <w:pPr>
        <w:pStyle w:val="AHPRABody0"/>
      </w:pPr>
      <w:r>
        <w:rPr>
          <w:lang w:val="en-US"/>
        </w:rPr>
        <w:t>1</w:t>
      </w:r>
      <w:r w:rsidR="00E44095">
        <w:rPr>
          <w:lang w:val="en-US"/>
        </w:rPr>
        <w:t>3</w:t>
      </w:r>
      <w:r>
        <w:rPr>
          <w:lang w:val="en-US"/>
        </w:rPr>
        <w:t xml:space="preserve"> January 2016</w:t>
      </w:r>
    </w:p>
    <w:sectPr w:rsidR="00312836" w:rsidSect="004B438E">
      <w:headerReference w:type="even" r:id="rId19"/>
      <w:headerReference w:type="default" r:id="rId20"/>
      <w:footerReference w:type="even" r:id="rId21"/>
      <w:footerReference w:type="default" r:id="rId22"/>
      <w:headerReference w:type="first" r:id="rId23"/>
      <w:footerReference w:type="first" r:id="rId24"/>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41" w:rsidRDefault="005F0741" w:rsidP="008A56B3">
      <w:r>
        <w:separator/>
      </w:r>
    </w:p>
    <w:p w:rsidR="005F0741" w:rsidRDefault="005F0741" w:rsidP="008A56B3"/>
  </w:endnote>
  <w:endnote w:type="continuationSeparator" w:id="0">
    <w:p w:rsidR="005F0741" w:rsidRDefault="005F0741" w:rsidP="008A56B3">
      <w:r>
        <w:continuationSeparator/>
      </w:r>
    </w:p>
    <w:p w:rsidR="005F0741" w:rsidRDefault="005F0741"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41" w:rsidRDefault="009C3EEA" w:rsidP="008A56B3">
    <w:pPr>
      <w:pStyle w:val="AHPRAfootnote"/>
    </w:pPr>
    <w:r>
      <w:fldChar w:fldCharType="begin"/>
    </w:r>
    <w:r w:rsidR="005F0741">
      <w:instrText xml:space="preserve">PAGE  </w:instrText>
    </w:r>
    <w:r>
      <w:fldChar w:fldCharType="end"/>
    </w:r>
  </w:p>
  <w:p w:rsidR="005F0741" w:rsidRDefault="005F0741" w:rsidP="008A56B3">
    <w:pPr>
      <w:pStyle w:val="AHPRAfootnote"/>
    </w:pPr>
  </w:p>
  <w:p w:rsidR="005F0741" w:rsidRDefault="005F0741"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41" w:rsidRPr="000E7E28" w:rsidRDefault="007D008B"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5F0741">
          <w:tab/>
        </w:r>
        <w:r w:rsidR="005F0741">
          <w:tab/>
        </w:r>
        <w:r w:rsidR="005F0741" w:rsidRPr="000E7E28">
          <w:t xml:space="preserve">Page </w:t>
        </w:r>
        <w:r w:rsidR="009C3EEA">
          <w:fldChar w:fldCharType="begin"/>
        </w:r>
        <w:r w:rsidR="00DC3FB8">
          <w:instrText xml:space="preserve"> PAGE </w:instrText>
        </w:r>
        <w:r w:rsidR="009C3EEA">
          <w:fldChar w:fldCharType="separate"/>
        </w:r>
        <w:r>
          <w:rPr>
            <w:noProof/>
          </w:rPr>
          <w:t>2</w:t>
        </w:r>
        <w:r w:rsidR="009C3EEA">
          <w:rPr>
            <w:noProof/>
          </w:rPr>
          <w:fldChar w:fldCharType="end"/>
        </w:r>
        <w:r w:rsidR="005F0741" w:rsidRPr="000E7E28">
          <w:t xml:space="preserve"> of </w:t>
        </w:r>
        <w:r w:rsidR="009C3EEA">
          <w:fldChar w:fldCharType="begin"/>
        </w:r>
        <w:r w:rsidR="00DC3FB8">
          <w:instrText xml:space="preserve"> NUMPAGES  </w:instrText>
        </w:r>
        <w:r w:rsidR="009C3EEA">
          <w:fldChar w:fldCharType="separate"/>
        </w:r>
        <w:r>
          <w:rPr>
            <w:noProof/>
          </w:rPr>
          <w:t>2</w:t>
        </w:r>
        <w:r w:rsidR="009C3EE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45" w:rsidRDefault="009C7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41" w:rsidRDefault="005F0741" w:rsidP="008A56B3">
      <w:r>
        <w:separator/>
      </w:r>
    </w:p>
  </w:footnote>
  <w:footnote w:type="continuationSeparator" w:id="0">
    <w:p w:rsidR="005F0741" w:rsidRDefault="005F0741" w:rsidP="008A56B3">
      <w:r>
        <w:continuationSeparator/>
      </w:r>
    </w:p>
    <w:p w:rsidR="005F0741" w:rsidRDefault="005F0741" w:rsidP="008A56B3"/>
  </w:footnote>
  <w:footnote w:type="continuationNotice" w:id="1">
    <w:p w:rsidR="005F0741" w:rsidRDefault="005F0741"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45" w:rsidRDefault="009C7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41" w:rsidRPr="00315933" w:rsidRDefault="005F0741" w:rsidP="008A56B3"/>
  <w:p w:rsidR="005F0741" w:rsidRDefault="005F0741" w:rsidP="008A56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41" w:rsidRDefault="005F0741"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5F0741" w:rsidRDefault="005F0741" w:rsidP="008A56B3"/>
  <w:p w:rsidR="005F0741" w:rsidRDefault="005F0741" w:rsidP="008A56B3"/>
  <w:p w:rsidR="005F0741" w:rsidRDefault="005F0741" w:rsidP="008A56B3"/>
  <w:p w:rsidR="005F0741" w:rsidRDefault="005F0741" w:rsidP="008A56B3"/>
  <w:p w:rsidR="005F0741" w:rsidRDefault="005F0741"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1"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3B3714"/>
    <w:multiLevelType w:val="multilevel"/>
    <w:tmpl w:val="C4183F12"/>
    <w:numStyleLink w:val="AHPRANumberedlist"/>
  </w:abstractNum>
  <w:abstractNum w:abstractNumId="14"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4"/>
  </w:num>
  <w:num w:numId="5">
    <w:abstractNumId w:val="13"/>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1"/>
  </w:num>
  <w:num w:numId="14">
    <w:abstractNumId w:val="9"/>
  </w:num>
  <w:num w:numId="15">
    <w:abstractNumId w:val="8"/>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4AF"/>
    <w:rsid w:val="00006922"/>
    <w:rsid w:val="000111B2"/>
    <w:rsid w:val="000220BD"/>
    <w:rsid w:val="00023904"/>
    <w:rsid w:val="000334D7"/>
    <w:rsid w:val="00052BF3"/>
    <w:rsid w:val="000542EA"/>
    <w:rsid w:val="00061983"/>
    <w:rsid w:val="00061A94"/>
    <w:rsid w:val="00071439"/>
    <w:rsid w:val="00071D70"/>
    <w:rsid w:val="00082158"/>
    <w:rsid w:val="00082456"/>
    <w:rsid w:val="000945FB"/>
    <w:rsid w:val="000A076C"/>
    <w:rsid w:val="000A1543"/>
    <w:rsid w:val="000A6BF7"/>
    <w:rsid w:val="000C45EB"/>
    <w:rsid w:val="000D12D1"/>
    <w:rsid w:val="000E00BF"/>
    <w:rsid w:val="000E29C2"/>
    <w:rsid w:val="000E486F"/>
    <w:rsid w:val="000E6D3A"/>
    <w:rsid w:val="000E7E28"/>
    <w:rsid w:val="000F5D90"/>
    <w:rsid w:val="000F71FB"/>
    <w:rsid w:val="001004CD"/>
    <w:rsid w:val="0010139F"/>
    <w:rsid w:val="00107F83"/>
    <w:rsid w:val="0011487C"/>
    <w:rsid w:val="00144DEF"/>
    <w:rsid w:val="00146F33"/>
    <w:rsid w:val="001506FE"/>
    <w:rsid w:val="00162C6D"/>
    <w:rsid w:val="00196F14"/>
    <w:rsid w:val="001C425C"/>
    <w:rsid w:val="001C5EAE"/>
    <w:rsid w:val="001D01AA"/>
    <w:rsid w:val="001E1E31"/>
    <w:rsid w:val="001E2849"/>
    <w:rsid w:val="001E4A94"/>
    <w:rsid w:val="001E5621"/>
    <w:rsid w:val="002040A7"/>
    <w:rsid w:val="002169EA"/>
    <w:rsid w:val="00220A3B"/>
    <w:rsid w:val="00224708"/>
    <w:rsid w:val="0022736D"/>
    <w:rsid w:val="00240D52"/>
    <w:rsid w:val="0028013F"/>
    <w:rsid w:val="0028496C"/>
    <w:rsid w:val="00294EC4"/>
    <w:rsid w:val="00295B44"/>
    <w:rsid w:val="002A45B4"/>
    <w:rsid w:val="002A6406"/>
    <w:rsid w:val="002B2D48"/>
    <w:rsid w:val="002C08FB"/>
    <w:rsid w:val="002C34EA"/>
    <w:rsid w:val="002D599C"/>
    <w:rsid w:val="002E1641"/>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1DE0"/>
    <w:rsid w:val="00393516"/>
    <w:rsid w:val="003A38E9"/>
    <w:rsid w:val="003A4E0E"/>
    <w:rsid w:val="003B5E14"/>
    <w:rsid w:val="003C2E37"/>
    <w:rsid w:val="003D0B3C"/>
    <w:rsid w:val="003D0CDC"/>
    <w:rsid w:val="003D6DBD"/>
    <w:rsid w:val="003E00B5"/>
    <w:rsid w:val="003E3268"/>
    <w:rsid w:val="003E6BB2"/>
    <w:rsid w:val="003F2F06"/>
    <w:rsid w:val="003F714C"/>
    <w:rsid w:val="00405C0A"/>
    <w:rsid w:val="00414AF0"/>
    <w:rsid w:val="00414F2C"/>
    <w:rsid w:val="00416F51"/>
    <w:rsid w:val="004240C4"/>
    <w:rsid w:val="00426DEC"/>
    <w:rsid w:val="00450B34"/>
    <w:rsid w:val="004606A7"/>
    <w:rsid w:val="00462F0F"/>
    <w:rsid w:val="004671AD"/>
    <w:rsid w:val="004A21F7"/>
    <w:rsid w:val="004A5E5D"/>
    <w:rsid w:val="004B438E"/>
    <w:rsid w:val="004B747B"/>
    <w:rsid w:val="004C63AF"/>
    <w:rsid w:val="004D596F"/>
    <w:rsid w:val="004D7537"/>
    <w:rsid w:val="004F5C05"/>
    <w:rsid w:val="004F6C12"/>
    <w:rsid w:val="004F7F60"/>
    <w:rsid w:val="005056B4"/>
    <w:rsid w:val="00516EF2"/>
    <w:rsid w:val="00520AD6"/>
    <w:rsid w:val="00530BFF"/>
    <w:rsid w:val="00535184"/>
    <w:rsid w:val="0053749F"/>
    <w:rsid w:val="00546B56"/>
    <w:rsid w:val="005518A4"/>
    <w:rsid w:val="00553A4C"/>
    <w:rsid w:val="00554335"/>
    <w:rsid w:val="005565CE"/>
    <w:rsid w:val="00565BBC"/>
    <w:rsid w:val="005708AE"/>
    <w:rsid w:val="00580A5B"/>
    <w:rsid w:val="005826C0"/>
    <w:rsid w:val="00586F30"/>
    <w:rsid w:val="005A0FA9"/>
    <w:rsid w:val="005A507F"/>
    <w:rsid w:val="005C5932"/>
    <w:rsid w:val="005C6817"/>
    <w:rsid w:val="005D00FC"/>
    <w:rsid w:val="005D06D7"/>
    <w:rsid w:val="005E0245"/>
    <w:rsid w:val="005F0741"/>
    <w:rsid w:val="005F393C"/>
    <w:rsid w:val="005F3941"/>
    <w:rsid w:val="005F6786"/>
    <w:rsid w:val="00607681"/>
    <w:rsid w:val="00616043"/>
    <w:rsid w:val="00622247"/>
    <w:rsid w:val="00622692"/>
    <w:rsid w:val="00640B2C"/>
    <w:rsid w:val="0064226A"/>
    <w:rsid w:val="0065012C"/>
    <w:rsid w:val="00652069"/>
    <w:rsid w:val="006600F0"/>
    <w:rsid w:val="00663E87"/>
    <w:rsid w:val="00666B15"/>
    <w:rsid w:val="00667CAD"/>
    <w:rsid w:val="00670F48"/>
    <w:rsid w:val="00672A98"/>
    <w:rsid w:val="00681D5E"/>
    <w:rsid w:val="006870F9"/>
    <w:rsid w:val="006A0304"/>
    <w:rsid w:val="006A52C3"/>
    <w:rsid w:val="006C0257"/>
    <w:rsid w:val="006C0E29"/>
    <w:rsid w:val="006C6C13"/>
    <w:rsid w:val="006C786E"/>
    <w:rsid w:val="006D30FE"/>
    <w:rsid w:val="006D3757"/>
    <w:rsid w:val="006D45FD"/>
    <w:rsid w:val="006D6D35"/>
    <w:rsid w:val="006E19CD"/>
    <w:rsid w:val="006F262E"/>
    <w:rsid w:val="006F3204"/>
    <w:rsid w:val="006F585B"/>
    <w:rsid w:val="006F7348"/>
    <w:rsid w:val="006F796D"/>
    <w:rsid w:val="0070155F"/>
    <w:rsid w:val="007372A4"/>
    <w:rsid w:val="00741B04"/>
    <w:rsid w:val="00743DD2"/>
    <w:rsid w:val="00756249"/>
    <w:rsid w:val="0075638C"/>
    <w:rsid w:val="0076115C"/>
    <w:rsid w:val="00766393"/>
    <w:rsid w:val="007664F3"/>
    <w:rsid w:val="007840D7"/>
    <w:rsid w:val="00786108"/>
    <w:rsid w:val="007907EC"/>
    <w:rsid w:val="0079197C"/>
    <w:rsid w:val="007A35B9"/>
    <w:rsid w:val="007B77D6"/>
    <w:rsid w:val="007C0B6E"/>
    <w:rsid w:val="007D008B"/>
    <w:rsid w:val="007D4836"/>
    <w:rsid w:val="007E2331"/>
    <w:rsid w:val="007E2C84"/>
    <w:rsid w:val="007E3545"/>
    <w:rsid w:val="007F0095"/>
    <w:rsid w:val="007F61FC"/>
    <w:rsid w:val="00820D1A"/>
    <w:rsid w:val="008338F7"/>
    <w:rsid w:val="00836397"/>
    <w:rsid w:val="00845054"/>
    <w:rsid w:val="00852D1C"/>
    <w:rsid w:val="00856147"/>
    <w:rsid w:val="00860F40"/>
    <w:rsid w:val="008615C9"/>
    <w:rsid w:val="00864020"/>
    <w:rsid w:val="00864173"/>
    <w:rsid w:val="00873920"/>
    <w:rsid w:val="008979D5"/>
    <w:rsid w:val="008A2A8D"/>
    <w:rsid w:val="008A4C3B"/>
    <w:rsid w:val="008A56B3"/>
    <w:rsid w:val="008B2AD7"/>
    <w:rsid w:val="008C5F92"/>
    <w:rsid w:val="008C6376"/>
    <w:rsid w:val="008D6B7E"/>
    <w:rsid w:val="008D7586"/>
    <w:rsid w:val="008D7845"/>
    <w:rsid w:val="008E79C8"/>
    <w:rsid w:val="008F0686"/>
    <w:rsid w:val="008F1838"/>
    <w:rsid w:val="008F5D89"/>
    <w:rsid w:val="008F7649"/>
    <w:rsid w:val="009031EA"/>
    <w:rsid w:val="009138F9"/>
    <w:rsid w:val="0092054F"/>
    <w:rsid w:val="00923B23"/>
    <w:rsid w:val="009255BD"/>
    <w:rsid w:val="00937ED0"/>
    <w:rsid w:val="00944DA7"/>
    <w:rsid w:val="00952797"/>
    <w:rsid w:val="009737ED"/>
    <w:rsid w:val="0097449E"/>
    <w:rsid w:val="009777D3"/>
    <w:rsid w:val="00984E15"/>
    <w:rsid w:val="009859E6"/>
    <w:rsid w:val="009A0A5D"/>
    <w:rsid w:val="009A7957"/>
    <w:rsid w:val="009C3EEA"/>
    <w:rsid w:val="009C6933"/>
    <w:rsid w:val="009C7445"/>
    <w:rsid w:val="009D0759"/>
    <w:rsid w:val="009E08DD"/>
    <w:rsid w:val="009E4D57"/>
    <w:rsid w:val="009F3F6B"/>
    <w:rsid w:val="009F7BC2"/>
    <w:rsid w:val="00A04C7A"/>
    <w:rsid w:val="00A058E5"/>
    <w:rsid w:val="00A0699D"/>
    <w:rsid w:val="00A10C1A"/>
    <w:rsid w:val="00A10F51"/>
    <w:rsid w:val="00A2072E"/>
    <w:rsid w:val="00A237BB"/>
    <w:rsid w:val="00A41D89"/>
    <w:rsid w:val="00A44A9E"/>
    <w:rsid w:val="00A458ED"/>
    <w:rsid w:val="00A509AB"/>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283D"/>
    <w:rsid w:val="00AB3A62"/>
    <w:rsid w:val="00AB41D8"/>
    <w:rsid w:val="00AC663C"/>
    <w:rsid w:val="00AC682E"/>
    <w:rsid w:val="00AD312E"/>
    <w:rsid w:val="00AE3EAF"/>
    <w:rsid w:val="00B024B0"/>
    <w:rsid w:val="00B104B9"/>
    <w:rsid w:val="00B14866"/>
    <w:rsid w:val="00B1527A"/>
    <w:rsid w:val="00B169C7"/>
    <w:rsid w:val="00B34EDA"/>
    <w:rsid w:val="00B35A87"/>
    <w:rsid w:val="00B465D2"/>
    <w:rsid w:val="00B50797"/>
    <w:rsid w:val="00B51241"/>
    <w:rsid w:val="00B51748"/>
    <w:rsid w:val="00B57198"/>
    <w:rsid w:val="00B85023"/>
    <w:rsid w:val="00BA1216"/>
    <w:rsid w:val="00BA2456"/>
    <w:rsid w:val="00BA469B"/>
    <w:rsid w:val="00BB4A5B"/>
    <w:rsid w:val="00BB7249"/>
    <w:rsid w:val="00BC1CBC"/>
    <w:rsid w:val="00BF2534"/>
    <w:rsid w:val="00BF2880"/>
    <w:rsid w:val="00BF79DC"/>
    <w:rsid w:val="00C0009B"/>
    <w:rsid w:val="00C00B73"/>
    <w:rsid w:val="00C019E3"/>
    <w:rsid w:val="00C2594A"/>
    <w:rsid w:val="00C35DE1"/>
    <w:rsid w:val="00C3795C"/>
    <w:rsid w:val="00C524AA"/>
    <w:rsid w:val="00C54689"/>
    <w:rsid w:val="00C7035B"/>
    <w:rsid w:val="00C81590"/>
    <w:rsid w:val="00C81B3A"/>
    <w:rsid w:val="00C84AE0"/>
    <w:rsid w:val="00C85A14"/>
    <w:rsid w:val="00C90915"/>
    <w:rsid w:val="00CB6C08"/>
    <w:rsid w:val="00CC6E74"/>
    <w:rsid w:val="00CD0DCA"/>
    <w:rsid w:val="00CE5855"/>
    <w:rsid w:val="00D00A9B"/>
    <w:rsid w:val="00D12F61"/>
    <w:rsid w:val="00D201C6"/>
    <w:rsid w:val="00D476D0"/>
    <w:rsid w:val="00D544E0"/>
    <w:rsid w:val="00D638E0"/>
    <w:rsid w:val="00D65016"/>
    <w:rsid w:val="00D716BA"/>
    <w:rsid w:val="00D720FF"/>
    <w:rsid w:val="00D83C90"/>
    <w:rsid w:val="00D8404D"/>
    <w:rsid w:val="00D8587E"/>
    <w:rsid w:val="00D87C12"/>
    <w:rsid w:val="00DB191A"/>
    <w:rsid w:val="00DC2952"/>
    <w:rsid w:val="00DC3FB8"/>
    <w:rsid w:val="00DF1AB7"/>
    <w:rsid w:val="00E0034B"/>
    <w:rsid w:val="00E034EB"/>
    <w:rsid w:val="00E07C02"/>
    <w:rsid w:val="00E10472"/>
    <w:rsid w:val="00E11540"/>
    <w:rsid w:val="00E12B06"/>
    <w:rsid w:val="00E15BF6"/>
    <w:rsid w:val="00E44095"/>
    <w:rsid w:val="00E4514A"/>
    <w:rsid w:val="00E54005"/>
    <w:rsid w:val="00E71CB9"/>
    <w:rsid w:val="00E73698"/>
    <w:rsid w:val="00E77E23"/>
    <w:rsid w:val="00E8251C"/>
    <w:rsid w:val="00E844A0"/>
    <w:rsid w:val="00E862B8"/>
    <w:rsid w:val="00EA248E"/>
    <w:rsid w:val="00EC1A17"/>
    <w:rsid w:val="00ED2159"/>
    <w:rsid w:val="00EE5945"/>
    <w:rsid w:val="00F13ED2"/>
    <w:rsid w:val="00F15E84"/>
    <w:rsid w:val="00F17D96"/>
    <w:rsid w:val="00F27ACB"/>
    <w:rsid w:val="00F3616F"/>
    <w:rsid w:val="00F40047"/>
    <w:rsid w:val="00F51506"/>
    <w:rsid w:val="00F54900"/>
    <w:rsid w:val="00F6418D"/>
    <w:rsid w:val="00F6618F"/>
    <w:rsid w:val="00F70DD5"/>
    <w:rsid w:val="00F73165"/>
    <w:rsid w:val="00F76B61"/>
    <w:rsid w:val="00F80A86"/>
    <w:rsid w:val="00F85C24"/>
    <w:rsid w:val="00F90BCE"/>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785FD6BE-7AB5-432C-98A1-FB3159F9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Registration-Standards.aspx" TargetMode="External"/><Relationship Id="rId13" Type="http://schemas.openxmlformats.org/officeDocument/2006/relationships/hyperlink" Target="https://www.youtube.com/channel/UCtswdaCOff5CIv1ijDY9ffw" TargetMode="External"/><Relationship Id="rId18" Type="http://schemas.openxmlformats.org/officeDocument/2006/relationships/hyperlink" Target="http://www.osteopathyboard.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hpra.gov.au/About-AHPRA/What-We-Do.aspx" TargetMode="External"/><Relationship Id="rId17" Type="http://schemas.openxmlformats.org/officeDocument/2006/relationships/hyperlink" Target="http://www.ahpra.gov.au/News/2015-10-02-annual-repor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annualreport/20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What-We-Do.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steopathyboard.gov.au/About/Statistics.aspx" TargetMode="External"/><Relationship Id="rId23" Type="http://schemas.openxmlformats.org/officeDocument/2006/relationships/header" Target="header3.xml"/><Relationship Id="rId10" Type="http://schemas.openxmlformats.org/officeDocument/2006/relationships/hyperlink" Target="http://www.ahpra.gov.au/Education/Approved-Programs-of-Study.aspx?ns=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eopathyboard.gov.au/News/2015-12-10-revised-pii-arrangements.aspx" TargetMode="External"/><Relationship Id="rId14" Type="http://schemas.openxmlformats.org/officeDocument/2006/relationships/hyperlink" Target="http://www.ahpra.gov.au/News/2015-12-31-obligations-for-employers.asp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4DFB-B499-4B34-A8B5-5154F5EF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of the Osteopathy Board of Australia</vt:lpstr>
    </vt:vector>
  </TitlesOfParts>
  <Company>Johanna Villani Design</Company>
  <LinksUpToDate>false</LinksUpToDate>
  <CharactersWithSpaces>6361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dc:title>
  <dc:subject>Communique</dc:subject>
  <dc:creator>Osteopathy Board</dc:creator>
  <cp:keywords>15 December 2015</cp:keywords>
  <cp:lastModifiedBy>Tara Johnson</cp:lastModifiedBy>
  <cp:revision>2</cp:revision>
  <cp:lastPrinted>2012-02-10T00:45:00Z</cp:lastPrinted>
  <dcterms:created xsi:type="dcterms:W3CDTF">2016-01-13T04:44:00Z</dcterms:created>
  <dcterms:modified xsi:type="dcterms:W3CDTF">2016-01-13T04:44:00Z</dcterms:modified>
</cp:coreProperties>
</file>