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  <w:bookmarkStart w:id="0" w:name="_GoBack"/>
      <w:bookmarkEnd w:id="0"/>
    </w:p>
    <w:p w:rsidR="009138F9" w:rsidRDefault="00972BC6" w:rsidP="000E29C2">
      <w:pPr>
        <w:spacing w:line="360" w:lineRule="auto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05pt;margin-top:2pt;width:160.35pt;height:0;z-index:251657728;visibility:visible;mso-wrap-style:square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9D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6eLyWz2CM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" adj="94,-1,94"/>
        </w:pict>
      </w:r>
    </w:p>
    <w:p w:rsidR="00622247" w:rsidRDefault="005F6786" w:rsidP="00984E15">
      <w:pPr>
        <w:pStyle w:val="AHPRADocumentsubheading"/>
      </w:pPr>
      <w:r>
        <w:t>October</w:t>
      </w:r>
      <w:r w:rsidR="00C7035B">
        <w:t xml:space="preserve"> 2015</w:t>
      </w:r>
      <w:r w:rsidR="00984E15" w:rsidRPr="00984E15">
        <w:t xml:space="preserve"> meeting of the Osteopathy Board of Australia</w:t>
      </w:r>
    </w:p>
    <w:p w:rsidR="00984E15" w:rsidRDefault="00984E15" w:rsidP="00984E15">
      <w:pPr>
        <w:pStyle w:val="AHPRAbody"/>
      </w:pPr>
      <w:r>
        <w:rPr>
          <w:rFonts w:cs="Arial"/>
          <w:color w:val="000000"/>
        </w:rPr>
        <w:t xml:space="preserve">The </w:t>
      </w:r>
      <w:r w:rsidR="00A802C1">
        <w:rPr>
          <w:rFonts w:cs="Arial"/>
          <w:color w:val="000000"/>
        </w:rPr>
        <w:t>7</w:t>
      </w:r>
      <w:r w:rsidR="00D720FF">
        <w:rPr>
          <w:rFonts w:cs="Arial"/>
          <w:color w:val="000000"/>
        </w:rPr>
        <w:t>3</w:t>
      </w:r>
      <w:r w:rsidR="00D720FF" w:rsidRPr="00D720FF">
        <w:rPr>
          <w:rFonts w:cs="Arial"/>
          <w:color w:val="000000"/>
          <w:vertAlign w:val="superscript"/>
        </w:rPr>
        <w:t>rd</w:t>
      </w:r>
      <w:r w:rsidR="00D720FF">
        <w:rPr>
          <w:rFonts w:cs="Arial"/>
          <w:color w:val="000000"/>
        </w:rPr>
        <w:t xml:space="preserve"> </w:t>
      </w:r>
      <w:r w:rsidRPr="00DF1D2B">
        <w:rPr>
          <w:rFonts w:cs="Arial"/>
          <w:color w:val="000000"/>
        </w:rPr>
        <w:t xml:space="preserve">meeting of the Osteopathy Board of Australia </w:t>
      </w:r>
      <w:r>
        <w:rPr>
          <w:rFonts w:cs="Arial"/>
          <w:color w:val="000000"/>
        </w:rPr>
        <w:t>(the Board) was</w:t>
      </w:r>
      <w:r w:rsidRPr="00DF1D2B">
        <w:rPr>
          <w:rFonts w:cs="Arial"/>
          <w:color w:val="000000"/>
        </w:rPr>
        <w:t xml:space="preserve"> held</w:t>
      </w:r>
      <w:r>
        <w:rPr>
          <w:rFonts w:cs="Arial"/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D720FF">
        <w:rPr>
          <w:lang w:val="en-GB"/>
        </w:rPr>
        <w:t>29</w:t>
      </w:r>
      <w:r w:rsidR="002A6406">
        <w:rPr>
          <w:lang w:val="en-GB"/>
        </w:rPr>
        <w:t xml:space="preserve"> </w:t>
      </w:r>
      <w:r w:rsidR="005F6786">
        <w:rPr>
          <w:lang w:val="en-GB"/>
        </w:rPr>
        <w:t>October</w:t>
      </w:r>
      <w:r w:rsidR="00C7035B">
        <w:rPr>
          <w:lang w:val="en-GB"/>
        </w:rPr>
        <w:t xml:space="preserve"> 2015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rPr>
          <w:rFonts w:cs="Arial"/>
        </w:rPr>
        <w:t xml:space="preserve">. </w:t>
      </w:r>
      <w:r>
        <w:t>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rPr>
          <w:rFonts w:cs="Arial"/>
        </w:rPr>
        <w:t xml:space="preserve">At each meeting, the Board considers a wide range of issues, many of which are routine and are </w:t>
      </w:r>
      <w:r>
        <w:rPr>
          <w:rFonts w:cs="Arial"/>
        </w:rPr>
        <w:t>not included in this communiqué</w:t>
      </w:r>
      <w:r w:rsidRPr="00F362BF">
        <w:t>.</w:t>
      </w:r>
    </w:p>
    <w:p w:rsidR="00A802C1" w:rsidRDefault="00D720FF" w:rsidP="00A802C1">
      <w:pPr>
        <w:pStyle w:val="AHPRASubhead"/>
        <w:rPr>
          <w:lang w:eastAsia="en-AU"/>
        </w:rPr>
      </w:pPr>
      <w:r>
        <w:t>Revised standards for all osteopaths</w:t>
      </w:r>
    </w:p>
    <w:p w:rsidR="00D720FF" w:rsidRPr="00D720FF" w:rsidRDefault="00D720FF" w:rsidP="00D720FF">
      <w:pPr>
        <w:pStyle w:val="AHPRAbody"/>
        <w:rPr>
          <w:rFonts w:cs="Arial"/>
        </w:rPr>
      </w:pPr>
      <w:r w:rsidRPr="00D720FF">
        <w:rPr>
          <w:rFonts w:cs="Arial"/>
        </w:rPr>
        <w:t xml:space="preserve">Revised registration standards for continuing professional development (CPD) and recency </w:t>
      </w:r>
      <w:r>
        <w:rPr>
          <w:rFonts w:cs="Arial"/>
        </w:rPr>
        <w:t>of practice have now been published</w:t>
      </w:r>
      <w:r w:rsidRPr="00D720FF">
        <w:rPr>
          <w:rFonts w:cs="Arial"/>
        </w:rPr>
        <w:t xml:space="preserve">, </w:t>
      </w:r>
      <w:r>
        <w:rPr>
          <w:rFonts w:cs="Arial"/>
        </w:rPr>
        <w:t xml:space="preserve">and will come into effect on 1 December 2015. </w:t>
      </w:r>
      <w:r w:rsidRPr="00D720FF">
        <w:rPr>
          <w:rFonts w:cs="Arial"/>
        </w:rPr>
        <w:t>They will apply to all osteopaths, who will need to meet the obligations of the revised standards by the next registration renewal period on 30 November 2016.</w:t>
      </w:r>
    </w:p>
    <w:p w:rsidR="00D720FF" w:rsidRPr="00D720FF" w:rsidRDefault="00D720FF" w:rsidP="00D720FF">
      <w:pPr>
        <w:pStyle w:val="AHPRAbody"/>
        <w:rPr>
          <w:rFonts w:cs="Arial"/>
        </w:rPr>
      </w:pPr>
      <w:r w:rsidRPr="00D720FF">
        <w:rPr>
          <w:rFonts w:cs="Arial"/>
        </w:rPr>
        <w:t>Below i</w:t>
      </w:r>
      <w:r w:rsidR="00AA5317">
        <w:rPr>
          <w:rFonts w:cs="Arial"/>
        </w:rPr>
        <w:t>s a summary of the main changes: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b/>
          <w:bCs/>
          <w:lang w:eastAsia="en-AU"/>
        </w:rPr>
        <w:t>Recency of practice</w:t>
      </w:r>
      <w:r w:rsidRPr="00D720FF">
        <w:rPr>
          <w:lang w:eastAsia="en-AU"/>
        </w:rPr>
        <w:t xml:space="preserve"> hours have been increased from 400 to 450 in </w:t>
      </w:r>
      <w:r w:rsidR="00C019E3">
        <w:rPr>
          <w:lang w:eastAsia="en-AU"/>
        </w:rPr>
        <w:t xml:space="preserve">an osteopath’s </w:t>
      </w:r>
      <w:r w:rsidRPr="00D720FF">
        <w:rPr>
          <w:lang w:eastAsia="en-AU"/>
        </w:rPr>
        <w:t>current domain of practice in the previous three years.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 xml:space="preserve">For </w:t>
      </w:r>
      <w:r w:rsidRPr="00D720FF">
        <w:rPr>
          <w:b/>
          <w:bCs/>
          <w:lang w:eastAsia="en-AU"/>
        </w:rPr>
        <w:t>recency of practice</w:t>
      </w:r>
      <w:r w:rsidRPr="00D720FF">
        <w:rPr>
          <w:lang w:eastAsia="en-AU"/>
        </w:rPr>
        <w:t xml:space="preserve"> the definition at the end of the registration standard has changed so that ‘clinical practice’ means direct clinical care or </w:t>
      </w:r>
      <w:r w:rsidRPr="00D720FF">
        <w:rPr>
          <w:u w:val="single"/>
          <w:lang w:eastAsia="en-AU"/>
        </w:rPr>
        <w:t xml:space="preserve">oversight of direct clinical </w:t>
      </w:r>
      <w:proofErr w:type="gramStart"/>
      <w:r w:rsidRPr="00D720FF">
        <w:rPr>
          <w:u w:val="single"/>
          <w:lang w:eastAsia="en-AU"/>
        </w:rPr>
        <w:t>care</w:t>
      </w:r>
      <w:r w:rsidR="00C019E3">
        <w:rPr>
          <w:lang w:eastAsia="en-AU"/>
        </w:rPr>
        <w:t>(</w:t>
      </w:r>
      <w:proofErr w:type="gramEnd"/>
      <w:r w:rsidRPr="00D720FF">
        <w:rPr>
          <w:lang w:eastAsia="en-AU"/>
        </w:rPr>
        <w:t>emphasis is the addition to the definition</w:t>
      </w:r>
      <w:r w:rsidR="00C019E3">
        <w:rPr>
          <w:lang w:eastAsia="en-AU"/>
        </w:rPr>
        <w:t>).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>For </w:t>
      </w:r>
      <w:r w:rsidRPr="00D720FF">
        <w:rPr>
          <w:b/>
          <w:bCs/>
          <w:lang w:eastAsia="en-AU"/>
        </w:rPr>
        <w:t>recency of practice</w:t>
      </w:r>
      <w:r w:rsidRPr="00D720FF">
        <w:rPr>
          <w:lang w:eastAsia="en-AU"/>
        </w:rPr>
        <w:t xml:space="preserve"> the definition of ‘recent graduate’ is now changed to: ‘on the basis of a qualification that was awarded more than </w:t>
      </w:r>
      <w:r w:rsidRPr="00D720FF">
        <w:rPr>
          <w:u w:val="single"/>
          <w:lang w:eastAsia="en-AU"/>
        </w:rPr>
        <w:t>12 months ago</w:t>
      </w:r>
      <w:r w:rsidRPr="00D720FF">
        <w:rPr>
          <w:lang w:eastAsia="en-AU"/>
        </w:rPr>
        <w:t xml:space="preserve">’ </w:t>
      </w:r>
      <w:r w:rsidR="00C019E3">
        <w:rPr>
          <w:lang w:eastAsia="en-AU"/>
        </w:rPr>
        <w:t>(</w:t>
      </w:r>
      <w:r w:rsidRPr="00D720FF">
        <w:rPr>
          <w:lang w:eastAsia="en-AU"/>
        </w:rPr>
        <w:t>emphasis is the change to the definition from six months</w:t>
      </w:r>
      <w:r w:rsidR="00C019E3">
        <w:rPr>
          <w:lang w:eastAsia="en-AU"/>
        </w:rPr>
        <w:t>)</w:t>
      </w:r>
      <w:r w:rsidRPr="00D720FF">
        <w:rPr>
          <w:lang w:eastAsia="en-AU"/>
        </w:rPr>
        <w:t>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 xml:space="preserve">‘Scope of practice’ defined in both the </w:t>
      </w:r>
      <w:r w:rsidRPr="00D720FF">
        <w:rPr>
          <w:b/>
          <w:bCs/>
          <w:lang w:eastAsia="en-AU"/>
        </w:rPr>
        <w:t>CPD and recency of practice</w:t>
      </w:r>
      <w:r w:rsidRPr="00D720FF">
        <w:rPr>
          <w:lang w:eastAsia="en-AU"/>
        </w:rPr>
        <w:t xml:space="preserve"> registration standards </w:t>
      </w:r>
      <w:r w:rsidR="00C019E3">
        <w:rPr>
          <w:lang w:eastAsia="en-AU"/>
        </w:rPr>
        <w:t xml:space="preserve">updated to </w:t>
      </w:r>
      <w:r w:rsidRPr="00D720FF">
        <w:rPr>
          <w:lang w:eastAsia="en-AU"/>
        </w:rPr>
        <w:t>us</w:t>
      </w:r>
      <w:r w:rsidR="00C019E3">
        <w:rPr>
          <w:lang w:eastAsia="en-AU"/>
        </w:rPr>
        <w:t>e</w:t>
      </w:r>
      <w:r w:rsidRPr="00D720FF">
        <w:rPr>
          <w:lang w:eastAsia="en-AU"/>
        </w:rPr>
        <w:t xml:space="preserve"> the standard definition across National Boards: ‘Scope of practice means the professional role and services that an individual health practitioner is educated and competent to perform’.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 xml:space="preserve">The </w:t>
      </w:r>
      <w:r w:rsidRPr="00D720FF">
        <w:rPr>
          <w:b/>
          <w:bCs/>
          <w:lang w:eastAsia="en-AU"/>
        </w:rPr>
        <w:t>CPD registration standard</w:t>
      </w:r>
      <w:r w:rsidRPr="00D720FF">
        <w:rPr>
          <w:lang w:eastAsia="en-AU"/>
        </w:rPr>
        <w:t xml:space="preserve"> now requires osteopaths to maintain records of CPD activity for five years in case of audit.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 xml:space="preserve">The requirement to undertake a 12-month refresher of CPR has been removed from the revised </w:t>
      </w:r>
      <w:r w:rsidRPr="00D720FF">
        <w:rPr>
          <w:b/>
          <w:bCs/>
          <w:lang w:eastAsia="en-AU"/>
        </w:rPr>
        <w:t>CPD guidelines</w:t>
      </w:r>
      <w:r w:rsidRPr="00D720FF">
        <w:rPr>
          <w:lang w:eastAsia="en-AU"/>
        </w:rPr>
        <w:t>. The requirement stays in the registration standard to hold a current senior first aid certificate at the minimum standard of a Senior First Aid (level 2) certificate or equivalent. The latter is updated every three years which is unchanged.</w:t>
      </w:r>
    </w:p>
    <w:p w:rsidR="00D720FF" w:rsidRPr="00D720FF" w:rsidRDefault="00D720FF" w:rsidP="00D720FF">
      <w:pPr>
        <w:pStyle w:val="Bulletedlist"/>
        <w:rPr>
          <w:lang w:eastAsia="en-AU"/>
        </w:rPr>
      </w:pPr>
      <w:r w:rsidRPr="00D720FF">
        <w:rPr>
          <w:lang w:eastAsia="en-AU"/>
        </w:rPr>
        <w:t xml:space="preserve">The list of mandatory activities has been refreshed in the revised </w:t>
      </w:r>
      <w:r w:rsidRPr="00D720FF">
        <w:rPr>
          <w:b/>
          <w:bCs/>
          <w:lang w:eastAsia="en-AU"/>
        </w:rPr>
        <w:t>CPD guidelines</w:t>
      </w:r>
      <w:r w:rsidRPr="00D720FF">
        <w:rPr>
          <w:lang w:eastAsia="en-AU"/>
        </w:rPr>
        <w:t>, and is at least four hours</w:t>
      </w:r>
      <w:r w:rsidR="00C019E3">
        <w:rPr>
          <w:lang w:eastAsia="en-AU"/>
        </w:rPr>
        <w:t xml:space="preserve"> of</w:t>
      </w:r>
      <w:r w:rsidRPr="00D720FF">
        <w:rPr>
          <w:lang w:eastAsia="en-AU"/>
        </w:rPr>
        <w:t xml:space="preserve"> CPD each year on one or more of the following topics: 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Osteopathy Board of Australia registration standards, codes and guidelines and overview of the National Law</w:t>
      </w:r>
      <w:r w:rsidR="00C019E3">
        <w:rPr>
          <w:rStyle w:val="FootnoteReference"/>
          <w:rFonts w:eastAsia="Times New Roman"/>
          <w:szCs w:val="20"/>
          <w:lang w:eastAsia="en-AU"/>
        </w:rPr>
        <w:footnoteReference w:id="2"/>
      </w:r>
      <w:r w:rsidRPr="00AA5317">
        <w:rPr>
          <w:rFonts w:eastAsia="Times New Roman"/>
          <w:szCs w:val="20"/>
          <w:lang w:eastAsia="en-AU"/>
        </w:rPr>
        <w:t>, particularly when new or updated versions are published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advertising a regulated health service and social media policy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evidence-based practice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risk management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record keeping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informed consent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effective communication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r w:rsidRPr="00AA5317">
        <w:rPr>
          <w:rFonts w:eastAsia="Times New Roman"/>
          <w:szCs w:val="20"/>
          <w:lang w:eastAsia="en-AU"/>
        </w:rPr>
        <w:t>professional boundaries, and</w:t>
      </w:r>
    </w:p>
    <w:p w:rsidR="002A0643" w:rsidRDefault="00D720FF">
      <w:pPr>
        <w:numPr>
          <w:ilvl w:val="1"/>
          <w:numId w:val="9"/>
        </w:numPr>
        <w:spacing w:before="0" w:after="100" w:afterAutospacing="1" w:line="180" w:lineRule="atLeast"/>
        <w:rPr>
          <w:rFonts w:eastAsia="Times New Roman"/>
          <w:szCs w:val="20"/>
          <w:lang w:eastAsia="en-AU"/>
        </w:rPr>
      </w:pPr>
      <w:proofErr w:type="gramStart"/>
      <w:r w:rsidRPr="00AA5317">
        <w:rPr>
          <w:rFonts w:eastAsia="Times New Roman"/>
          <w:szCs w:val="20"/>
          <w:lang w:eastAsia="en-AU"/>
        </w:rPr>
        <w:t>confidentiality</w:t>
      </w:r>
      <w:proofErr w:type="gramEnd"/>
      <w:r w:rsidRPr="00AA5317">
        <w:rPr>
          <w:rFonts w:eastAsia="Times New Roman"/>
          <w:szCs w:val="20"/>
          <w:lang w:eastAsia="en-AU"/>
        </w:rPr>
        <w:t xml:space="preserve"> and privacy. </w:t>
      </w:r>
    </w:p>
    <w:p w:rsidR="000A076C" w:rsidRDefault="000A076C" w:rsidP="00D720FF">
      <w:pPr>
        <w:pStyle w:val="Bulletedlist"/>
        <w:numPr>
          <w:ilvl w:val="0"/>
          <w:numId w:val="0"/>
        </w:numPr>
        <w:ind w:left="340" w:hanging="340"/>
        <w:rPr>
          <w:color w:val="444444"/>
          <w:szCs w:val="20"/>
        </w:rPr>
      </w:pPr>
    </w:p>
    <w:p w:rsidR="00BB7249" w:rsidRDefault="00BB7249" w:rsidP="00BB7249">
      <w:pPr>
        <w:pStyle w:val="AHPRASubhead"/>
      </w:pPr>
      <w:r>
        <w:t>Panel member recruitment</w:t>
      </w:r>
    </w:p>
    <w:p w:rsidR="00BB7249" w:rsidRDefault="00BB7249" w:rsidP="00BB7249">
      <w:pPr>
        <w:pStyle w:val="AHPRAbody"/>
        <w:tabs>
          <w:tab w:val="left" w:pos="0"/>
        </w:tabs>
        <w:rPr>
          <w:szCs w:val="20"/>
        </w:rPr>
      </w:pPr>
      <w:r>
        <w:t xml:space="preserve">The Board approved the appointment of four osteopathy practitioners </w:t>
      </w:r>
      <w:r>
        <w:rPr>
          <w:szCs w:val="20"/>
        </w:rPr>
        <w:t xml:space="preserve">on a </w:t>
      </w:r>
      <w:r w:rsidRPr="004240C4">
        <w:rPr>
          <w:szCs w:val="20"/>
        </w:rPr>
        <w:t>List of Approved Persons (LAP)</w:t>
      </w:r>
      <w:r>
        <w:rPr>
          <w:szCs w:val="20"/>
        </w:rPr>
        <w:t xml:space="preserve"> for appointment to panels. These positions were advertised in </w:t>
      </w:r>
      <w:r w:rsidR="002F2ED3">
        <w:rPr>
          <w:szCs w:val="20"/>
        </w:rPr>
        <w:t>August 2015,</w:t>
      </w:r>
      <w:r>
        <w:rPr>
          <w:szCs w:val="20"/>
        </w:rPr>
        <w:t xml:space="preserve"> and the Board is pleased with the response. Letters will be sent to those appointed to the LAP this month.</w:t>
      </w:r>
    </w:p>
    <w:p w:rsidR="002F2ED3" w:rsidRDefault="002F2ED3" w:rsidP="002F2ED3">
      <w:pPr>
        <w:pStyle w:val="AHPRAbody"/>
        <w:tabs>
          <w:tab w:val="left" w:pos="0"/>
        </w:tabs>
        <w:rPr>
          <w:szCs w:val="20"/>
        </w:rPr>
      </w:pPr>
      <w:r>
        <w:rPr>
          <w:szCs w:val="20"/>
          <w:lang w:eastAsia="en-AU"/>
        </w:rPr>
        <w:t>The Board convenes health panels and performance and professional standards panels when required to hold hearings into specific health, performance or conduct matters for individual registered health professionals; and chooses panel members from a LAP.</w:t>
      </w:r>
    </w:p>
    <w:p w:rsidR="004D596F" w:rsidRDefault="004D596F" w:rsidP="00BB7249">
      <w:pPr>
        <w:pStyle w:val="AHPRASubhead"/>
      </w:pPr>
      <w:r>
        <w:t xml:space="preserve">Efficiencies in </w:t>
      </w:r>
      <w:r w:rsidR="00C019E3">
        <w:t>c</w:t>
      </w:r>
      <w:r>
        <w:t>ommittee structures</w:t>
      </w:r>
    </w:p>
    <w:p w:rsidR="004D596F" w:rsidRDefault="004D596F" w:rsidP="004D596F">
      <w:pPr>
        <w:pStyle w:val="AHPRAbody"/>
      </w:pPr>
      <w:r>
        <w:t>The Board has continued to conduct its business of regulating the profession with increasing efficiency, allowing it to reduce the national registration fee for 2015/16 through improvements such as in its committee structures.</w:t>
      </w:r>
    </w:p>
    <w:p w:rsidR="00984E15" w:rsidRPr="00984E15" w:rsidRDefault="00984E15" w:rsidP="00984E15">
      <w:pPr>
        <w:pStyle w:val="AHPRASubhead"/>
      </w:pPr>
      <w:r w:rsidRPr="00984E15">
        <w:t>Keeping in touch with the Board</w:t>
      </w:r>
    </w:p>
    <w:p w:rsidR="00984E15" w:rsidRDefault="00984E15" w:rsidP="00984E15">
      <w:pPr>
        <w:pStyle w:val="AHPRAbody"/>
      </w:pPr>
      <w:r>
        <w:t xml:space="preserve">The Board publishes a range of information about registration and the Board’s expectations of practitioners on its website at </w:t>
      </w:r>
      <w:hyperlink r:id="rId8" w:history="1">
        <w:r w:rsidRPr="00660816">
          <w:rPr>
            <w:rStyle w:val="Hyperlink"/>
            <w:rFonts w:cs="Arial"/>
            <w:szCs w:val="20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4C63AF" w:rsidRDefault="00984E15" w:rsidP="0092054F">
      <w:pPr>
        <w:spacing w:before="0" w:after="0"/>
        <w:rPr>
          <w:szCs w:val="20"/>
          <w:lang w:val="en-US"/>
        </w:rPr>
      </w:pPr>
      <w:r w:rsidRPr="00AE3701">
        <w:rPr>
          <w:szCs w:val="20"/>
          <w:lang w:val="en-US"/>
        </w:rPr>
        <w:t xml:space="preserve">Dr </w:t>
      </w:r>
      <w:r>
        <w:rPr>
          <w:szCs w:val="20"/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984E15" w:rsidRPr="00984E15" w:rsidRDefault="00D720FF" w:rsidP="0092054F">
      <w:pPr>
        <w:spacing w:before="0" w:after="0"/>
      </w:pPr>
      <w:r>
        <w:rPr>
          <w:szCs w:val="20"/>
          <w:lang w:val="en-US"/>
        </w:rPr>
        <w:t>5 November</w:t>
      </w:r>
      <w:r w:rsidR="00984E15">
        <w:rPr>
          <w:szCs w:val="20"/>
        </w:rPr>
        <w:t xml:space="preserve"> 2015</w:t>
      </w:r>
    </w:p>
    <w:sectPr w:rsidR="00984E15" w:rsidRPr="00984E15" w:rsidSect="004B438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49" w:rsidRDefault="00BB7249" w:rsidP="008A56B3">
      <w:r>
        <w:separator/>
      </w:r>
    </w:p>
    <w:p w:rsidR="00BB7249" w:rsidRDefault="00BB7249" w:rsidP="008A56B3"/>
  </w:endnote>
  <w:endnote w:type="continuationSeparator" w:id="0">
    <w:p w:rsidR="00BB7249" w:rsidRDefault="00BB7249" w:rsidP="008A56B3">
      <w:r>
        <w:continuationSeparator/>
      </w:r>
    </w:p>
    <w:p w:rsidR="00BB7249" w:rsidRDefault="00BB7249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49" w:rsidRDefault="00B1527A" w:rsidP="008A56B3">
    <w:pPr>
      <w:pStyle w:val="AHPRAfootnote"/>
    </w:pPr>
    <w:r>
      <w:fldChar w:fldCharType="begin"/>
    </w:r>
    <w:r w:rsidR="00BB7249">
      <w:instrText xml:space="preserve">PAGE  </w:instrText>
    </w:r>
    <w:r>
      <w:fldChar w:fldCharType="end"/>
    </w:r>
  </w:p>
  <w:p w:rsidR="00BB7249" w:rsidRDefault="00BB7249" w:rsidP="008A56B3">
    <w:pPr>
      <w:pStyle w:val="AHPRAfootnote"/>
    </w:pPr>
  </w:p>
  <w:p w:rsidR="00BB7249" w:rsidRDefault="00BB7249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49" w:rsidRPr="000E7E28" w:rsidRDefault="00972BC6" w:rsidP="007840D7">
    <w:pPr>
      <w:pStyle w:val="AHPRApagenumber"/>
      <w:tabs>
        <w:tab w:val="center" w:pos="4536"/>
        <w:tab w:val="right" w:pos="9356"/>
      </w:tabs>
      <w:ind w:right="-233"/>
      <w:jc w:val="left"/>
    </w:pPr>
    <w:r>
      <w:fldChar w:fldCharType="begin"/>
    </w:r>
    <w:r>
      <w:instrText xml:space="preserve"> STYLEREF "AHPRA Document title" \* MERGEFORMAT </w:instrText>
    </w:r>
    <w:r>
      <w:fldChar w:fldCharType="separate"/>
    </w:r>
    <w:r>
      <w:rPr>
        <w:noProof/>
      </w:rPr>
      <w:t>Communiqué</w:t>
    </w:r>
    <w:r>
      <w:rPr>
        <w:noProof/>
      </w:rPr>
      <w:fldChar w:fldCharType="end"/>
    </w:r>
    <w:r w:rsidR="00BB7249">
      <w:t xml:space="preserve"> / </w:t>
    </w:r>
    <w:r>
      <w:fldChar w:fldCharType="begin"/>
    </w:r>
    <w:r>
      <w:instrText xml:space="preserve"> DATE \@ "d MMMM y" \* MERGEFORMAT </w:instrText>
    </w:r>
    <w:r>
      <w:fldChar w:fldCharType="separate"/>
    </w:r>
    <w:r>
      <w:rPr>
        <w:noProof/>
      </w:rPr>
      <w:t>5 November 15</w:t>
    </w:r>
    <w:r>
      <w:rPr>
        <w:noProof/>
      </w:rPr>
      <w:fldChar w:fldCharType="end"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BB7249">
          <w:tab/>
        </w:r>
        <w:r w:rsidR="00BB7249">
          <w:tab/>
        </w:r>
        <w:r w:rsidR="00BB7249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B7249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49" w:rsidRDefault="00BB7249" w:rsidP="008A56B3">
      <w:r>
        <w:separator/>
      </w:r>
    </w:p>
  </w:footnote>
  <w:footnote w:type="continuationSeparator" w:id="0">
    <w:p w:rsidR="00BB7249" w:rsidRDefault="00BB7249" w:rsidP="008A56B3">
      <w:r>
        <w:continuationSeparator/>
      </w:r>
    </w:p>
    <w:p w:rsidR="00BB7249" w:rsidRDefault="00BB7249" w:rsidP="008A56B3"/>
  </w:footnote>
  <w:footnote w:type="continuationNotice" w:id="1">
    <w:p w:rsidR="00BB7249" w:rsidRDefault="00BB7249" w:rsidP="008A56B3"/>
  </w:footnote>
  <w:footnote w:id="2">
    <w:p w:rsidR="00C019E3" w:rsidRDefault="00C019E3">
      <w:pPr>
        <w:pStyle w:val="FootnoteText"/>
      </w:pPr>
      <w:r>
        <w:rPr>
          <w:rStyle w:val="FootnoteReference"/>
        </w:rPr>
        <w:footnoteRef/>
      </w:r>
      <w:r>
        <w:t xml:space="preserve"> The Health Practitioner Regulation National Law, as in force in each state and territory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49" w:rsidRPr="00315933" w:rsidRDefault="00BB7249" w:rsidP="008A56B3"/>
  <w:p w:rsidR="00BB7249" w:rsidRDefault="00BB7249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49" w:rsidRDefault="00BB7249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7249" w:rsidRDefault="00BB7249" w:rsidP="008A56B3"/>
  <w:p w:rsidR="00BB7249" w:rsidRDefault="00BB7249" w:rsidP="008A56B3"/>
  <w:p w:rsidR="00BB7249" w:rsidRDefault="00BB7249" w:rsidP="008A56B3"/>
  <w:p w:rsidR="00BB7249" w:rsidRDefault="00BB7249" w:rsidP="008A56B3"/>
  <w:p w:rsidR="00BB7249" w:rsidRDefault="00BB7249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B3714"/>
    <w:multiLevelType w:val="multilevel"/>
    <w:tmpl w:val="C4183F12"/>
    <w:numStyleLink w:val="AHPRANumberedlist"/>
  </w:abstractNum>
  <w:abstractNum w:abstractNumId="7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52BF3"/>
    <w:rsid w:val="00061983"/>
    <w:rsid w:val="00061A94"/>
    <w:rsid w:val="00071439"/>
    <w:rsid w:val="00071E72"/>
    <w:rsid w:val="00082158"/>
    <w:rsid w:val="00082456"/>
    <w:rsid w:val="000945FB"/>
    <w:rsid w:val="000A076C"/>
    <w:rsid w:val="000A1543"/>
    <w:rsid w:val="000A6BF7"/>
    <w:rsid w:val="000D12D1"/>
    <w:rsid w:val="000E29C2"/>
    <w:rsid w:val="000E6D3A"/>
    <w:rsid w:val="000E7E28"/>
    <w:rsid w:val="000F5D90"/>
    <w:rsid w:val="0010139F"/>
    <w:rsid w:val="00107F83"/>
    <w:rsid w:val="0011487C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40D52"/>
    <w:rsid w:val="0028013F"/>
    <w:rsid w:val="00294EC4"/>
    <w:rsid w:val="00295B44"/>
    <w:rsid w:val="002A0643"/>
    <w:rsid w:val="002A45B4"/>
    <w:rsid w:val="002A6406"/>
    <w:rsid w:val="002B2D48"/>
    <w:rsid w:val="002C08FB"/>
    <w:rsid w:val="002C34EA"/>
    <w:rsid w:val="002D599C"/>
    <w:rsid w:val="002F2ED3"/>
    <w:rsid w:val="00301BC0"/>
    <w:rsid w:val="00303BE1"/>
    <w:rsid w:val="00305AFC"/>
    <w:rsid w:val="00307035"/>
    <w:rsid w:val="00330D33"/>
    <w:rsid w:val="003354E4"/>
    <w:rsid w:val="00337717"/>
    <w:rsid w:val="00354C75"/>
    <w:rsid w:val="00361DE0"/>
    <w:rsid w:val="00393516"/>
    <w:rsid w:val="003A4E0E"/>
    <w:rsid w:val="003B5E14"/>
    <w:rsid w:val="003C2E37"/>
    <w:rsid w:val="003D0B3C"/>
    <w:rsid w:val="003D0CD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240C4"/>
    <w:rsid w:val="00426DEC"/>
    <w:rsid w:val="00450B34"/>
    <w:rsid w:val="004606A7"/>
    <w:rsid w:val="00462F0F"/>
    <w:rsid w:val="004671AD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5056B4"/>
    <w:rsid w:val="00516EF2"/>
    <w:rsid w:val="00520AD6"/>
    <w:rsid w:val="00530BFF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C5932"/>
    <w:rsid w:val="005C6817"/>
    <w:rsid w:val="005D06D7"/>
    <w:rsid w:val="005E0245"/>
    <w:rsid w:val="005F393C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C0257"/>
    <w:rsid w:val="006C0E29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6115C"/>
    <w:rsid w:val="007664F3"/>
    <w:rsid w:val="007840D7"/>
    <w:rsid w:val="00786108"/>
    <w:rsid w:val="007907EC"/>
    <w:rsid w:val="0079197C"/>
    <w:rsid w:val="007A35B9"/>
    <w:rsid w:val="007B77D6"/>
    <w:rsid w:val="007C0B6E"/>
    <w:rsid w:val="007D4836"/>
    <w:rsid w:val="007E2331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64173"/>
    <w:rsid w:val="00873920"/>
    <w:rsid w:val="008979D5"/>
    <w:rsid w:val="008A2A8D"/>
    <w:rsid w:val="008A4C3B"/>
    <w:rsid w:val="008A56B3"/>
    <w:rsid w:val="008B2AD7"/>
    <w:rsid w:val="008C5F92"/>
    <w:rsid w:val="008D6B7E"/>
    <w:rsid w:val="008D7845"/>
    <w:rsid w:val="008E79C8"/>
    <w:rsid w:val="008F0686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72BC6"/>
    <w:rsid w:val="009777D3"/>
    <w:rsid w:val="00984E15"/>
    <w:rsid w:val="009859E6"/>
    <w:rsid w:val="009A0A5D"/>
    <w:rsid w:val="009A7957"/>
    <w:rsid w:val="009C6933"/>
    <w:rsid w:val="009D0759"/>
    <w:rsid w:val="009E4D57"/>
    <w:rsid w:val="009F3F6B"/>
    <w:rsid w:val="00A04C7A"/>
    <w:rsid w:val="00A058E5"/>
    <w:rsid w:val="00A10C1A"/>
    <w:rsid w:val="00A10F51"/>
    <w:rsid w:val="00A2072E"/>
    <w:rsid w:val="00A237BB"/>
    <w:rsid w:val="00A41D89"/>
    <w:rsid w:val="00A44A9E"/>
    <w:rsid w:val="00A458ED"/>
    <w:rsid w:val="00A509AB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B283D"/>
    <w:rsid w:val="00AB3A62"/>
    <w:rsid w:val="00AB41D8"/>
    <w:rsid w:val="00AC663C"/>
    <w:rsid w:val="00AD312E"/>
    <w:rsid w:val="00AE20E0"/>
    <w:rsid w:val="00AE3EAF"/>
    <w:rsid w:val="00B024B0"/>
    <w:rsid w:val="00B104B9"/>
    <w:rsid w:val="00B14866"/>
    <w:rsid w:val="00B1527A"/>
    <w:rsid w:val="00B34EDA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B7249"/>
    <w:rsid w:val="00BF2534"/>
    <w:rsid w:val="00BF79DC"/>
    <w:rsid w:val="00C0009B"/>
    <w:rsid w:val="00C019E3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B6C08"/>
    <w:rsid w:val="00CD0DCA"/>
    <w:rsid w:val="00CE5855"/>
    <w:rsid w:val="00D12F61"/>
    <w:rsid w:val="00D201C6"/>
    <w:rsid w:val="00D476D0"/>
    <w:rsid w:val="00D544E0"/>
    <w:rsid w:val="00D638E0"/>
    <w:rsid w:val="00D65016"/>
    <w:rsid w:val="00D716BA"/>
    <w:rsid w:val="00D720FF"/>
    <w:rsid w:val="00D83C90"/>
    <w:rsid w:val="00D8404D"/>
    <w:rsid w:val="00D8587E"/>
    <w:rsid w:val="00D87C12"/>
    <w:rsid w:val="00DB191A"/>
    <w:rsid w:val="00DC2952"/>
    <w:rsid w:val="00DF1AB7"/>
    <w:rsid w:val="00E0034B"/>
    <w:rsid w:val="00E034EB"/>
    <w:rsid w:val="00E07C02"/>
    <w:rsid w:val="00E11540"/>
    <w:rsid w:val="00E12B06"/>
    <w:rsid w:val="00E15BF6"/>
    <w:rsid w:val="00E4514A"/>
    <w:rsid w:val="00E54005"/>
    <w:rsid w:val="00E71CB9"/>
    <w:rsid w:val="00E73698"/>
    <w:rsid w:val="00E77E23"/>
    <w:rsid w:val="00E8251C"/>
    <w:rsid w:val="00E844A0"/>
    <w:rsid w:val="00E862B8"/>
    <w:rsid w:val="00EA248E"/>
    <w:rsid w:val="00ED2159"/>
    <w:rsid w:val="00F13ED2"/>
    <w:rsid w:val="00F15E84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92AF613F-214C-474C-93FE-8E3D0B2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135F-8063-4695-8F86-2BD6590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 meeting of the Osteopathy Board of Australia</vt:lpstr>
    </vt:vector>
  </TitlesOfParts>
  <Company>Johanna Villani Design</Company>
  <LinksUpToDate>false</LinksUpToDate>
  <CharactersWithSpaces>3968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 meeting of the Osteopathy Board of Australia</dc:title>
  <dc:subject>Communique</dc:subject>
  <dc:creator>Osteopathy Board</dc:creator>
  <cp:keywords>29 October 2015</cp:keywords>
  <cp:lastModifiedBy>Tara Johnson</cp:lastModifiedBy>
  <cp:revision>3</cp:revision>
  <cp:lastPrinted>2015-11-05T02:12:00Z</cp:lastPrinted>
  <dcterms:created xsi:type="dcterms:W3CDTF">2015-11-05T02:12:00Z</dcterms:created>
  <dcterms:modified xsi:type="dcterms:W3CDTF">2015-11-05T02:13:00Z</dcterms:modified>
</cp:coreProperties>
</file>