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7A17A4" w:rsidP="008A56B3">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05pt;margin-top:36.4pt;width:309.1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9D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"/>
        </w:pict>
      </w:r>
      <w:r w:rsidR="00984E15">
        <w:rPr>
          <w:noProof/>
          <w:lang w:val="en-US"/>
        </w:rPr>
        <w:t>Communiqué</w:t>
      </w:r>
      <w:bookmarkStart w:id="0" w:name="_GoBack"/>
      <w:bookmarkEnd w:id="0"/>
    </w:p>
    <w:p w:rsidR="009138F9" w:rsidRDefault="009138F9" w:rsidP="000E29C2">
      <w:pPr>
        <w:spacing w:line="360" w:lineRule="auto"/>
      </w:pPr>
    </w:p>
    <w:p w:rsidR="00622247" w:rsidRDefault="002A6406" w:rsidP="00984E15">
      <w:pPr>
        <w:pStyle w:val="AHPRADocumentsubheading"/>
      </w:pPr>
      <w:r>
        <w:t>27</w:t>
      </w:r>
      <w:r w:rsidR="00A802C1">
        <w:t xml:space="preserve"> </w:t>
      </w:r>
      <w:r>
        <w:t>August</w:t>
      </w:r>
      <w:r w:rsidR="00C7035B">
        <w:t xml:space="preserve"> 2015</w:t>
      </w:r>
      <w:r w:rsidR="00984E15" w:rsidRPr="00984E15">
        <w:t xml:space="preserve"> meeting of the Osteopathy Board of Australia</w:t>
      </w:r>
    </w:p>
    <w:p w:rsidR="00984E15" w:rsidRDefault="00984E15" w:rsidP="00984E15">
      <w:pPr>
        <w:pStyle w:val="AHPRAbody"/>
      </w:pPr>
      <w:r>
        <w:rPr>
          <w:rFonts w:cs="Arial"/>
          <w:color w:val="000000"/>
        </w:rPr>
        <w:t xml:space="preserve">The </w:t>
      </w:r>
      <w:r w:rsidR="00A802C1">
        <w:rPr>
          <w:rFonts w:cs="Arial"/>
          <w:color w:val="000000"/>
        </w:rPr>
        <w:t>7</w:t>
      </w:r>
      <w:r w:rsidR="002A6406">
        <w:rPr>
          <w:rFonts w:cs="Arial"/>
          <w:color w:val="000000"/>
        </w:rPr>
        <w:t>1</w:t>
      </w:r>
      <w:r w:rsidR="002A6406" w:rsidRPr="002A6406">
        <w:rPr>
          <w:rFonts w:cs="Arial"/>
          <w:color w:val="000000"/>
          <w:vertAlign w:val="superscript"/>
        </w:rPr>
        <w:t>st</w:t>
      </w:r>
      <w:r w:rsidR="00C7035B">
        <w:rPr>
          <w:rFonts w:cs="Arial"/>
          <w:color w:val="000000"/>
          <w:vertAlign w:val="superscript"/>
        </w:rPr>
        <w:t xml:space="preserve"> </w:t>
      </w:r>
      <w:r w:rsidRPr="00DF1D2B">
        <w:rPr>
          <w:rFonts w:cs="Arial"/>
          <w:color w:val="000000"/>
        </w:rPr>
        <w:t xml:space="preserve">meeting of the Osteopathy Board of Australia </w:t>
      </w:r>
      <w:r>
        <w:rPr>
          <w:rFonts w:cs="Arial"/>
          <w:color w:val="000000"/>
        </w:rPr>
        <w:t>(the Board) was</w:t>
      </w:r>
      <w:r w:rsidRPr="00DF1D2B">
        <w:rPr>
          <w:rFonts w:cs="Arial"/>
          <w:color w:val="000000"/>
        </w:rPr>
        <w:t xml:space="preserve"> held</w:t>
      </w:r>
      <w:r>
        <w:rPr>
          <w:rFonts w:cs="Arial"/>
          <w:color w:val="000000"/>
        </w:rPr>
        <w:t xml:space="preserve"> on</w:t>
      </w:r>
      <w:r w:rsidRPr="00EE5AB8">
        <w:rPr>
          <w:lang w:val="en-GB"/>
        </w:rPr>
        <w:t xml:space="preserve"> </w:t>
      </w:r>
      <w:r w:rsidR="002A6406">
        <w:rPr>
          <w:lang w:val="en-GB"/>
        </w:rPr>
        <w:t>27 August</w:t>
      </w:r>
      <w:r w:rsidR="00C7035B">
        <w:rPr>
          <w:lang w:val="en-GB"/>
        </w:rPr>
        <w:t xml:space="preserve"> 2015</w:t>
      </w:r>
      <w:r>
        <w:rPr>
          <w:lang w:val="en-GB"/>
        </w:rPr>
        <w:t xml:space="preserve"> in </w:t>
      </w:r>
      <w:r w:rsidR="00A802C1">
        <w:rPr>
          <w:lang w:val="en-GB"/>
        </w:rPr>
        <w:t>Melbourne</w:t>
      </w:r>
      <w:r>
        <w:rPr>
          <w:rFonts w:cs="Arial"/>
        </w:rPr>
        <w:t xml:space="preserve">. </w:t>
      </w:r>
      <w:r>
        <w:t>The Board publishes</w:t>
      </w:r>
      <w:r w:rsidRPr="00F362BF">
        <w:t xml:space="preserve"> this communiqué on our website and email</w:t>
      </w:r>
      <w:r>
        <w:t>s</w:t>
      </w:r>
      <w:r w:rsidRPr="00F362BF">
        <w:t xml:space="preserve"> it to a broad range of stakeholders. </w:t>
      </w:r>
      <w:r w:rsidRPr="00D97E48">
        <w:rPr>
          <w:rFonts w:cs="Arial"/>
        </w:rPr>
        <w:t xml:space="preserve">At each meeting, the Board considers a wide range of issues, many of which are routine and are </w:t>
      </w:r>
      <w:r>
        <w:rPr>
          <w:rFonts w:cs="Arial"/>
        </w:rPr>
        <w:t>not included in this communiqué</w:t>
      </w:r>
      <w:r w:rsidRPr="00F362BF">
        <w:t>.</w:t>
      </w:r>
    </w:p>
    <w:p w:rsidR="00A802C1" w:rsidRDefault="00A6681D" w:rsidP="00A802C1">
      <w:pPr>
        <w:pStyle w:val="AHPRASubhead"/>
        <w:rPr>
          <w:lang w:eastAsia="en-AU"/>
        </w:rPr>
      </w:pPr>
      <w:r>
        <w:t>Australasian Osteopathic Accreditation Council</w:t>
      </w:r>
      <w:r w:rsidR="00F85C24">
        <w:t xml:space="preserve"> (AOAC)</w:t>
      </w:r>
    </w:p>
    <w:p w:rsidR="00A802C1" w:rsidRPr="00F85C24" w:rsidRDefault="00A6681D" w:rsidP="00A802C1">
      <w:pPr>
        <w:pStyle w:val="AHPRAbodybold"/>
        <w:rPr>
          <w:b w:val="0"/>
        </w:rPr>
      </w:pPr>
      <w:r>
        <w:rPr>
          <w:b w:val="0"/>
          <w:lang w:eastAsia="en-AU"/>
        </w:rPr>
        <w:t>The</w:t>
      </w:r>
      <w:r w:rsidR="00F85C24">
        <w:rPr>
          <w:b w:val="0"/>
          <w:lang w:eastAsia="en-AU"/>
        </w:rPr>
        <w:t xml:space="preserve"> AOAC joined the meeting briefly for preliminary discussions on the draft revised </w:t>
      </w:r>
      <w:r w:rsidR="00F85C24" w:rsidRPr="00F85C24">
        <w:rPr>
          <w:b w:val="0"/>
          <w:i/>
          <w:lang w:eastAsia="en-AU"/>
        </w:rPr>
        <w:t>Capabilities for Osteopathic Practice</w:t>
      </w:r>
      <w:r w:rsidR="00F85C24">
        <w:rPr>
          <w:b w:val="0"/>
          <w:i/>
          <w:lang w:eastAsia="en-AU"/>
        </w:rPr>
        <w:t xml:space="preserve"> </w:t>
      </w:r>
      <w:r w:rsidR="00F85C24" w:rsidRPr="00F85C24">
        <w:rPr>
          <w:b w:val="0"/>
          <w:lang w:eastAsia="en-AU"/>
        </w:rPr>
        <w:t>an</w:t>
      </w:r>
      <w:r w:rsidR="00F85C24">
        <w:rPr>
          <w:b w:val="0"/>
          <w:lang w:eastAsia="en-AU"/>
        </w:rPr>
        <w:t>d the</w:t>
      </w:r>
      <w:r w:rsidR="00F85C24">
        <w:rPr>
          <w:b w:val="0"/>
          <w:i/>
          <w:lang w:eastAsia="en-AU"/>
        </w:rPr>
        <w:t xml:space="preserve"> Accreditation Standards for Osteopathic programs of study, </w:t>
      </w:r>
      <w:r w:rsidR="00F85C24" w:rsidRPr="00F85C24">
        <w:rPr>
          <w:b w:val="0"/>
          <w:lang w:eastAsia="en-AU"/>
        </w:rPr>
        <w:t>the</w:t>
      </w:r>
      <w:r w:rsidR="00F85C24">
        <w:rPr>
          <w:b w:val="0"/>
          <w:i/>
          <w:lang w:eastAsia="en-AU"/>
        </w:rPr>
        <w:t xml:space="preserve"> </w:t>
      </w:r>
      <w:r w:rsidR="00F85C24">
        <w:rPr>
          <w:b w:val="0"/>
        </w:rPr>
        <w:t>draft report on the Evaluation of the Competent Authority Pathway and the six-monthly report on the Quality Framework for the Accreditation Function.</w:t>
      </w:r>
      <w:r w:rsidR="00AC663C">
        <w:rPr>
          <w:b w:val="0"/>
        </w:rPr>
        <w:t xml:space="preserve"> The documents will be further discussed at the Board’s September meeting.</w:t>
      </w:r>
    </w:p>
    <w:p w:rsidR="00B51241" w:rsidRDefault="00B51241" w:rsidP="00B51241">
      <w:pPr>
        <w:pStyle w:val="AHPRASubhead"/>
        <w:rPr>
          <w:lang w:eastAsia="en-AU"/>
        </w:rPr>
      </w:pPr>
      <w:r>
        <w:t>Panels – recruitment to list of panel members</w:t>
      </w:r>
    </w:p>
    <w:p w:rsidR="00B51241" w:rsidRDefault="00B51241" w:rsidP="00B51241">
      <w:pPr>
        <w:pStyle w:val="AHPRAbodybold"/>
        <w:rPr>
          <w:b w:val="0"/>
          <w:lang w:eastAsia="en-AU"/>
        </w:rPr>
      </w:pPr>
      <w:r w:rsidRPr="003B54EA">
        <w:rPr>
          <w:b w:val="0"/>
          <w:lang w:eastAsia="en-AU"/>
        </w:rPr>
        <w:t xml:space="preserve">The Board </w:t>
      </w:r>
      <w:r>
        <w:rPr>
          <w:b w:val="0"/>
          <w:lang w:eastAsia="en-AU"/>
        </w:rPr>
        <w:t>invites</w:t>
      </w:r>
      <w:r w:rsidRPr="003B54EA">
        <w:rPr>
          <w:b w:val="0"/>
          <w:lang w:eastAsia="en-AU"/>
        </w:rPr>
        <w:t xml:space="preserve"> </w:t>
      </w:r>
      <w:r>
        <w:rPr>
          <w:b w:val="0"/>
          <w:lang w:eastAsia="en-AU"/>
        </w:rPr>
        <w:t>osteopaths</w:t>
      </w:r>
      <w:r w:rsidRPr="003B54EA">
        <w:rPr>
          <w:b w:val="0"/>
          <w:lang w:eastAsia="en-AU"/>
        </w:rPr>
        <w:t xml:space="preserve"> to </w:t>
      </w:r>
      <w:r>
        <w:rPr>
          <w:b w:val="0"/>
          <w:lang w:eastAsia="en-AU"/>
        </w:rPr>
        <w:t>express interest in being added to a list of panel members to be called on</w:t>
      </w:r>
      <w:r w:rsidRPr="003B54EA">
        <w:rPr>
          <w:b w:val="0"/>
          <w:lang w:eastAsia="en-AU"/>
        </w:rPr>
        <w:t xml:space="preserve"> when a performance and professional standards panel or a health panel hearing is required.</w:t>
      </w:r>
    </w:p>
    <w:p w:rsidR="00B51241" w:rsidRDefault="00B51241" w:rsidP="00B51241">
      <w:pPr>
        <w:pStyle w:val="AHPRAbodybold"/>
        <w:rPr>
          <w:b w:val="0"/>
          <w:lang w:eastAsia="en-AU"/>
        </w:rPr>
      </w:pPr>
      <w:r w:rsidRPr="003B54EA">
        <w:rPr>
          <w:b w:val="0"/>
          <w:lang w:eastAsia="en-AU"/>
        </w:rPr>
        <w:t xml:space="preserve">These panels may be infrequent, but </w:t>
      </w:r>
      <w:r>
        <w:rPr>
          <w:b w:val="0"/>
          <w:lang w:eastAsia="en-AU"/>
        </w:rPr>
        <w:t xml:space="preserve">being </w:t>
      </w:r>
      <w:r w:rsidRPr="003B54EA">
        <w:rPr>
          <w:b w:val="0"/>
          <w:lang w:eastAsia="en-AU"/>
        </w:rPr>
        <w:t>i</w:t>
      </w:r>
      <w:r>
        <w:rPr>
          <w:b w:val="0"/>
          <w:lang w:eastAsia="en-AU"/>
        </w:rPr>
        <w:t>nvolved</w:t>
      </w:r>
      <w:r w:rsidRPr="003B54EA">
        <w:rPr>
          <w:b w:val="0"/>
          <w:lang w:eastAsia="en-AU"/>
        </w:rPr>
        <w:t xml:space="preserve"> is an opportunity to become familiar with the types of notifications that the Board receives and the legislation that governs osteopathy practice, decision-making and administration under the National Law. </w:t>
      </w:r>
      <w:r w:rsidRPr="009F1B37">
        <w:rPr>
          <w:b w:val="0"/>
          <w:lang w:eastAsia="en-AU"/>
        </w:rPr>
        <w:t>It is a</w:t>
      </w:r>
      <w:r>
        <w:rPr>
          <w:b w:val="0"/>
          <w:lang w:eastAsia="en-AU"/>
        </w:rPr>
        <w:t>lso a</w:t>
      </w:r>
      <w:r w:rsidRPr="009F1B37">
        <w:rPr>
          <w:b w:val="0"/>
          <w:lang w:eastAsia="en-AU"/>
        </w:rPr>
        <w:t xml:space="preserve"> good way to be introduced to the work of regulators.</w:t>
      </w:r>
    </w:p>
    <w:p w:rsidR="00B51241" w:rsidRPr="003B54EA" w:rsidRDefault="00B51241" w:rsidP="00B51241">
      <w:pPr>
        <w:pStyle w:val="AHPRAbodybold"/>
        <w:rPr>
          <w:b w:val="0"/>
          <w:lang w:eastAsia="en-AU"/>
        </w:rPr>
      </w:pPr>
      <w:r>
        <w:rPr>
          <w:b w:val="0"/>
          <w:lang w:eastAsia="en-AU"/>
        </w:rPr>
        <w:t xml:space="preserve">There is training available for panel members once appointed. </w:t>
      </w:r>
      <w:r w:rsidRPr="003B54EA">
        <w:rPr>
          <w:b w:val="0"/>
          <w:lang w:eastAsia="en-AU"/>
        </w:rPr>
        <w:t xml:space="preserve">Appointments to the list of approved persons are currently advertised by the Board. </w:t>
      </w:r>
      <w:r>
        <w:rPr>
          <w:b w:val="0"/>
          <w:lang w:eastAsia="en-AU"/>
        </w:rPr>
        <w:t>For m</w:t>
      </w:r>
      <w:r w:rsidRPr="003B54EA">
        <w:rPr>
          <w:b w:val="0"/>
          <w:lang w:eastAsia="en-AU"/>
        </w:rPr>
        <w:t>ore information</w:t>
      </w:r>
      <w:r>
        <w:rPr>
          <w:b w:val="0"/>
          <w:lang w:eastAsia="en-AU"/>
        </w:rPr>
        <w:t>, visit the</w:t>
      </w:r>
      <w:r w:rsidRPr="003B54EA">
        <w:rPr>
          <w:b w:val="0"/>
          <w:lang w:eastAsia="en-AU"/>
        </w:rPr>
        <w:t xml:space="preserve"> </w:t>
      </w:r>
      <w:hyperlink r:id="rId8" w:history="1">
        <w:r>
          <w:rPr>
            <w:rStyle w:val="Hyperlink"/>
            <w:b w:val="0"/>
            <w:szCs w:val="20"/>
          </w:rPr>
          <w:t>Panel</w:t>
        </w:r>
        <w:r w:rsidRPr="00A5748F">
          <w:rPr>
            <w:rStyle w:val="Hyperlink"/>
            <w:b w:val="0"/>
            <w:szCs w:val="20"/>
          </w:rPr>
          <w:t xml:space="preserve"> member recruitment</w:t>
        </w:r>
      </w:hyperlink>
      <w:r w:rsidRPr="00A5748F">
        <w:rPr>
          <w:b w:val="0"/>
        </w:rPr>
        <w:t xml:space="preserve"> </w:t>
      </w:r>
      <w:r>
        <w:rPr>
          <w:b w:val="0"/>
          <w:lang w:eastAsia="en-AU"/>
        </w:rPr>
        <w:t xml:space="preserve">page on the AHPRA website. </w:t>
      </w:r>
      <w:r w:rsidRPr="00DD22E2">
        <w:rPr>
          <w:szCs w:val="20"/>
          <w:lang w:eastAsia="en-AU"/>
        </w:rPr>
        <w:t xml:space="preserve">The closing date </w:t>
      </w:r>
      <w:r>
        <w:rPr>
          <w:szCs w:val="20"/>
          <w:lang w:eastAsia="en-AU"/>
        </w:rPr>
        <w:t>has been extended to</w:t>
      </w:r>
      <w:r w:rsidRPr="00DD22E2">
        <w:rPr>
          <w:szCs w:val="20"/>
          <w:lang w:eastAsia="en-AU"/>
        </w:rPr>
        <w:t xml:space="preserve"> </w:t>
      </w:r>
      <w:r>
        <w:rPr>
          <w:szCs w:val="20"/>
          <w:lang w:eastAsia="en-AU"/>
        </w:rPr>
        <w:t>14 September 2015.</w:t>
      </w:r>
    </w:p>
    <w:p w:rsidR="00A802C1" w:rsidRDefault="00A802C1" w:rsidP="004C63AF">
      <w:pPr>
        <w:pStyle w:val="AHPRASubhead"/>
      </w:pPr>
      <w:r>
        <w:t>Student engagement</w:t>
      </w:r>
    </w:p>
    <w:p w:rsidR="00A802C1" w:rsidRPr="00A802C1" w:rsidRDefault="00A802C1" w:rsidP="004C63AF">
      <w:pPr>
        <w:pStyle w:val="AHPRASubhead"/>
        <w:rPr>
          <w:b w:val="0"/>
          <w:color w:val="262626" w:themeColor="text1" w:themeTint="D9"/>
        </w:rPr>
      </w:pPr>
      <w:r>
        <w:rPr>
          <w:b w:val="0"/>
          <w:color w:val="262626" w:themeColor="text1" w:themeTint="D9"/>
        </w:rPr>
        <w:t xml:space="preserve">The Board is developing a number of ways to engage with final year students prior to </w:t>
      </w:r>
      <w:r w:rsidR="00873920">
        <w:rPr>
          <w:b w:val="0"/>
          <w:color w:val="262626" w:themeColor="text1" w:themeTint="D9"/>
        </w:rPr>
        <w:t xml:space="preserve">graduation to </w:t>
      </w:r>
      <w:r>
        <w:rPr>
          <w:b w:val="0"/>
          <w:color w:val="262626" w:themeColor="text1" w:themeTint="D9"/>
        </w:rPr>
        <w:t>outline applying for registration</w:t>
      </w:r>
      <w:r w:rsidR="002040A7">
        <w:rPr>
          <w:b w:val="0"/>
          <w:color w:val="262626" w:themeColor="text1" w:themeTint="D9"/>
        </w:rPr>
        <w:t>,</w:t>
      </w:r>
      <w:r>
        <w:rPr>
          <w:b w:val="0"/>
          <w:color w:val="262626" w:themeColor="text1" w:themeTint="D9"/>
        </w:rPr>
        <w:t xml:space="preserve"> the responsibilities of registered practitioners and the role of the Board and AHPRA. </w:t>
      </w:r>
      <w:r w:rsidR="00FC3B82">
        <w:rPr>
          <w:b w:val="0"/>
          <w:color w:val="262626" w:themeColor="text1" w:themeTint="D9"/>
        </w:rPr>
        <w:t>As Chair of the Board, I</w:t>
      </w:r>
      <w:r>
        <w:rPr>
          <w:b w:val="0"/>
          <w:color w:val="262626" w:themeColor="text1" w:themeTint="D9"/>
        </w:rPr>
        <w:t xml:space="preserve"> </w:t>
      </w:r>
      <w:r w:rsidR="00FC3B82">
        <w:rPr>
          <w:b w:val="0"/>
          <w:color w:val="262626" w:themeColor="text1" w:themeTint="D9"/>
        </w:rPr>
        <w:t>p</w:t>
      </w:r>
      <w:r w:rsidR="004A21F7">
        <w:rPr>
          <w:b w:val="0"/>
          <w:color w:val="262626" w:themeColor="text1" w:themeTint="D9"/>
        </w:rPr>
        <w:t>resented</w:t>
      </w:r>
      <w:r w:rsidR="007E2331">
        <w:rPr>
          <w:b w:val="0"/>
          <w:color w:val="262626" w:themeColor="text1" w:themeTint="D9"/>
        </w:rPr>
        <w:t xml:space="preserve"> on these topics</w:t>
      </w:r>
      <w:r w:rsidR="004A21F7">
        <w:rPr>
          <w:b w:val="0"/>
          <w:color w:val="262626" w:themeColor="text1" w:themeTint="D9"/>
        </w:rPr>
        <w:t xml:space="preserve"> </w:t>
      </w:r>
      <w:r w:rsidR="00FC3B82">
        <w:rPr>
          <w:b w:val="0"/>
          <w:color w:val="262626" w:themeColor="text1" w:themeTint="D9"/>
        </w:rPr>
        <w:t>to</w:t>
      </w:r>
      <w:r>
        <w:rPr>
          <w:b w:val="0"/>
          <w:color w:val="262626" w:themeColor="text1" w:themeTint="D9"/>
        </w:rPr>
        <w:t xml:space="preserve"> </w:t>
      </w:r>
      <w:r w:rsidR="007E2331">
        <w:rPr>
          <w:b w:val="0"/>
          <w:color w:val="262626" w:themeColor="text1" w:themeTint="D9"/>
        </w:rPr>
        <w:t>final-</w:t>
      </w:r>
      <w:r>
        <w:rPr>
          <w:b w:val="0"/>
          <w:color w:val="262626" w:themeColor="text1" w:themeTint="D9"/>
        </w:rPr>
        <w:t>year st</w:t>
      </w:r>
      <w:r w:rsidR="004A21F7">
        <w:rPr>
          <w:b w:val="0"/>
          <w:color w:val="262626" w:themeColor="text1" w:themeTint="D9"/>
        </w:rPr>
        <w:t>udents in Melbourne</w:t>
      </w:r>
      <w:r w:rsidR="007E2331">
        <w:rPr>
          <w:b w:val="0"/>
          <w:color w:val="262626" w:themeColor="text1" w:themeTint="D9"/>
        </w:rPr>
        <w:t xml:space="preserve"> recently,</w:t>
      </w:r>
      <w:r w:rsidR="004A21F7">
        <w:rPr>
          <w:b w:val="0"/>
          <w:color w:val="262626" w:themeColor="text1" w:themeTint="D9"/>
        </w:rPr>
        <w:t xml:space="preserve"> and </w:t>
      </w:r>
      <w:r w:rsidR="00B51241">
        <w:rPr>
          <w:b w:val="0"/>
          <w:color w:val="262626" w:themeColor="text1" w:themeTint="D9"/>
        </w:rPr>
        <w:t xml:space="preserve">will present to </w:t>
      </w:r>
      <w:r w:rsidR="007E2331">
        <w:rPr>
          <w:b w:val="0"/>
          <w:color w:val="262626" w:themeColor="text1" w:themeTint="D9"/>
        </w:rPr>
        <w:t>final-</w:t>
      </w:r>
      <w:r w:rsidR="00B51241">
        <w:rPr>
          <w:b w:val="0"/>
          <w:color w:val="262626" w:themeColor="text1" w:themeTint="D9"/>
        </w:rPr>
        <w:t xml:space="preserve">year students in </w:t>
      </w:r>
      <w:r w:rsidR="004A21F7">
        <w:rPr>
          <w:b w:val="0"/>
          <w:color w:val="262626" w:themeColor="text1" w:themeTint="D9"/>
        </w:rPr>
        <w:t>Lismore</w:t>
      </w:r>
      <w:r w:rsidR="00B51241">
        <w:rPr>
          <w:b w:val="0"/>
          <w:color w:val="262626" w:themeColor="text1" w:themeTint="D9"/>
        </w:rPr>
        <w:t xml:space="preserve"> on 10 September</w:t>
      </w:r>
      <w:r w:rsidR="007E2331">
        <w:rPr>
          <w:b w:val="0"/>
          <w:color w:val="262626" w:themeColor="text1" w:themeTint="D9"/>
        </w:rPr>
        <w:t xml:space="preserve"> 2015. During these sessions, I am </w:t>
      </w:r>
      <w:r w:rsidR="00B51241">
        <w:rPr>
          <w:b w:val="0"/>
          <w:color w:val="262626" w:themeColor="text1" w:themeTint="D9"/>
        </w:rPr>
        <w:t>collect</w:t>
      </w:r>
      <w:r w:rsidR="007E2331">
        <w:rPr>
          <w:b w:val="0"/>
          <w:color w:val="262626" w:themeColor="text1" w:themeTint="D9"/>
        </w:rPr>
        <w:t>ing</w:t>
      </w:r>
      <w:r w:rsidR="00C0009B">
        <w:rPr>
          <w:b w:val="0"/>
          <w:color w:val="262626" w:themeColor="text1" w:themeTint="D9"/>
        </w:rPr>
        <w:t xml:space="preserve"> </w:t>
      </w:r>
      <w:r w:rsidR="007E2331">
        <w:rPr>
          <w:b w:val="0"/>
          <w:color w:val="262626" w:themeColor="text1" w:themeTint="D9"/>
        </w:rPr>
        <w:t xml:space="preserve">attendee </w:t>
      </w:r>
      <w:r w:rsidR="00C0009B">
        <w:rPr>
          <w:b w:val="0"/>
          <w:color w:val="262626" w:themeColor="text1" w:themeTint="D9"/>
        </w:rPr>
        <w:t xml:space="preserve">feedback on how the Board </w:t>
      </w:r>
      <w:r w:rsidR="007E2331">
        <w:rPr>
          <w:b w:val="0"/>
          <w:color w:val="262626" w:themeColor="text1" w:themeTint="D9"/>
        </w:rPr>
        <w:t>should conduct</w:t>
      </w:r>
      <w:r w:rsidR="00C0009B">
        <w:rPr>
          <w:b w:val="0"/>
          <w:color w:val="262626" w:themeColor="text1" w:themeTint="D9"/>
        </w:rPr>
        <w:t xml:space="preserve"> student engagement in future</w:t>
      </w:r>
      <w:r w:rsidR="004A21F7">
        <w:rPr>
          <w:b w:val="0"/>
          <w:color w:val="262626" w:themeColor="text1" w:themeTint="D9"/>
        </w:rPr>
        <w:t>.</w:t>
      </w:r>
    </w:p>
    <w:p w:rsidR="00C0009B" w:rsidRDefault="00C0009B" w:rsidP="00984E15">
      <w:pPr>
        <w:pStyle w:val="AHPRASubhead"/>
      </w:pPr>
      <w:r>
        <w:t>National Registration and Accreditation Scheme review report released</w:t>
      </w:r>
    </w:p>
    <w:p w:rsidR="00C0009B" w:rsidRPr="00C0009B" w:rsidRDefault="00C0009B" w:rsidP="00C0009B">
      <w:pPr>
        <w:pStyle w:val="AHPRAbodybold"/>
        <w:rPr>
          <w:b w:val="0"/>
          <w:lang w:eastAsia="en-AU"/>
        </w:rPr>
      </w:pPr>
      <w:r w:rsidRPr="00C0009B">
        <w:rPr>
          <w:b w:val="0"/>
          <w:lang w:eastAsia="en-AU"/>
        </w:rPr>
        <w:t xml:space="preserve">The Australian Health Workforce Ministerial Council met on 7 August 2015 at the COAG Health Council meeting to consider the final report of the independent review of the National Registration and Accreditation Scheme. </w:t>
      </w:r>
    </w:p>
    <w:p w:rsidR="00C0009B" w:rsidRPr="00C0009B" w:rsidRDefault="00C0009B" w:rsidP="00C0009B">
      <w:pPr>
        <w:pStyle w:val="AHPRAbodybold"/>
        <w:rPr>
          <w:b w:val="0"/>
          <w:lang w:eastAsia="en-AU"/>
        </w:rPr>
      </w:pPr>
      <w:r w:rsidRPr="00C0009B">
        <w:rPr>
          <w:b w:val="0"/>
          <w:lang w:eastAsia="en-AU"/>
        </w:rPr>
        <w:t xml:space="preserve">The purpose of the independent review was to identify what is working well in the National Scheme and the opportunities to improve and strengthen the operation of the scheme in regulating health professions to protect the public. </w:t>
      </w:r>
    </w:p>
    <w:p w:rsidR="00C0009B" w:rsidRDefault="00C0009B" w:rsidP="00C0009B">
      <w:pPr>
        <w:pStyle w:val="AHPRAbodybold"/>
        <w:rPr>
          <w:b w:val="0"/>
          <w:lang w:eastAsia="en-AU"/>
        </w:rPr>
      </w:pPr>
      <w:r w:rsidRPr="00C0009B">
        <w:rPr>
          <w:b w:val="0"/>
          <w:lang w:eastAsia="en-AU"/>
        </w:rPr>
        <w:t xml:space="preserve">Ministers expressed strong support for the work of the National Scheme, noted that it was now embedded in the health system and was among the most significant and effective reforms of health profession regulation in Australia and internationally. </w:t>
      </w:r>
    </w:p>
    <w:p w:rsidR="00B51241" w:rsidRDefault="00B51241" w:rsidP="00C0009B">
      <w:pPr>
        <w:pStyle w:val="AHPRAbodybold"/>
        <w:rPr>
          <w:b w:val="0"/>
          <w:lang w:eastAsia="en-AU"/>
        </w:rPr>
      </w:pPr>
      <w:r>
        <w:rPr>
          <w:b w:val="0"/>
          <w:lang w:eastAsia="en-AU"/>
        </w:rPr>
        <w:t xml:space="preserve">For more information read the </w:t>
      </w:r>
      <w:r w:rsidR="007E2331">
        <w:rPr>
          <w:b w:val="0"/>
          <w:lang w:eastAsia="en-AU"/>
        </w:rPr>
        <w:t xml:space="preserve">COAG Health Council </w:t>
      </w:r>
      <w:r>
        <w:rPr>
          <w:b w:val="0"/>
          <w:lang w:eastAsia="en-AU"/>
        </w:rPr>
        <w:t xml:space="preserve">media release </w:t>
      </w:r>
      <w:hyperlink r:id="rId9" w:history="1">
        <w:r w:rsidRPr="007E2331">
          <w:rPr>
            <w:rStyle w:val="Hyperlink"/>
            <w:b w:val="0"/>
            <w:lang w:eastAsia="en-AU"/>
          </w:rPr>
          <w:t>here</w:t>
        </w:r>
      </w:hyperlink>
      <w:r w:rsidR="007E2331">
        <w:rPr>
          <w:b w:val="0"/>
          <w:lang w:eastAsia="en-AU"/>
        </w:rPr>
        <w:t>.</w:t>
      </w:r>
    </w:p>
    <w:p w:rsidR="00B51241" w:rsidRPr="00C0009B" w:rsidRDefault="00B51241" w:rsidP="00C0009B">
      <w:pPr>
        <w:pStyle w:val="AHPRAbodybold"/>
        <w:rPr>
          <w:b w:val="0"/>
          <w:lang w:eastAsia="en-AU"/>
        </w:rPr>
      </w:pPr>
    </w:p>
    <w:p w:rsidR="00984E15" w:rsidRPr="00984E15" w:rsidRDefault="00984E15" w:rsidP="00984E15">
      <w:pPr>
        <w:pStyle w:val="AHPRASubhead"/>
      </w:pPr>
      <w:r w:rsidRPr="00984E15">
        <w:lastRenderedPageBreak/>
        <w:t>Keeping in touch with the Board</w:t>
      </w:r>
    </w:p>
    <w:p w:rsidR="00984E15" w:rsidRDefault="00984E15" w:rsidP="00984E15">
      <w:pPr>
        <w:pStyle w:val="AHPRAbody"/>
      </w:pPr>
      <w:r>
        <w:t xml:space="preserve">The Board publishes a range of information about registration and the Board’s expectations of practitioners on its website at </w:t>
      </w:r>
      <w:hyperlink r:id="rId10" w:history="1">
        <w:r w:rsidRPr="00660816">
          <w:rPr>
            <w:rStyle w:val="Hyperlink"/>
            <w:rFonts w:cs="Arial"/>
            <w:szCs w:val="20"/>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ED2159" w:rsidRDefault="00ED2159" w:rsidP="00984E15">
      <w:pPr>
        <w:rPr>
          <w:szCs w:val="20"/>
          <w:lang w:val="en-US"/>
        </w:rPr>
      </w:pPr>
    </w:p>
    <w:p w:rsidR="004C63AF" w:rsidRDefault="00984E15" w:rsidP="0092054F">
      <w:pPr>
        <w:spacing w:before="0" w:after="0"/>
        <w:rPr>
          <w:szCs w:val="20"/>
          <w:lang w:val="en-US"/>
        </w:rPr>
      </w:pPr>
      <w:r w:rsidRPr="00AE3701">
        <w:rPr>
          <w:szCs w:val="20"/>
          <w:lang w:val="en-US"/>
        </w:rPr>
        <w:t xml:space="preserve">Dr </w:t>
      </w:r>
      <w:r>
        <w:rPr>
          <w:szCs w:val="20"/>
          <w:lang w:val="en-US"/>
        </w:rPr>
        <w:t>Nikole Grbin (Osteopath)</w:t>
      </w:r>
    </w:p>
    <w:p w:rsidR="003B5E14" w:rsidRDefault="00984E15" w:rsidP="0092054F">
      <w:pPr>
        <w:spacing w:before="0" w:after="0"/>
        <w:rPr>
          <w:color w:val="0070C0"/>
          <w:szCs w:val="20"/>
          <w:lang w:val="en-US"/>
        </w:rPr>
      </w:pPr>
      <w:r w:rsidRPr="007D493A">
        <w:rPr>
          <w:color w:val="0070C0"/>
          <w:szCs w:val="20"/>
          <w:lang w:val="en-US"/>
        </w:rPr>
        <w:t>Chair</w:t>
      </w:r>
    </w:p>
    <w:p w:rsidR="0092054F" w:rsidRDefault="002169EA" w:rsidP="0092054F">
      <w:pPr>
        <w:spacing w:before="0" w:after="0"/>
        <w:rPr>
          <w:szCs w:val="20"/>
          <w:lang w:val="en-US"/>
        </w:rPr>
      </w:pPr>
      <w:r>
        <w:rPr>
          <w:color w:val="0070C0"/>
          <w:szCs w:val="20"/>
          <w:lang w:val="en-US"/>
        </w:rPr>
        <w:t>Osteopathy Board of Australia</w:t>
      </w:r>
      <w:r w:rsidR="00984E15">
        <w:rPr>
          <w:color w:val="0070C0"/>
          <w:szCs w:val="20"/>
          <w:lang w:val="en-US"/>
        </w:rPr>
        <w:br/>
      </w:r>
    </w:p>
    <w:p w:rsidR="00984E15" w:rsidRPr="00984E15" w:rsidRDefault="00607681" w:rsidP="0092054F">
      <w:pPr>
        <w:spacing w:before="0" w:after="0"/>
      </w:pPr>
      <w:r>
        <w:rPr>
          <w:szCs w:val="20"/>
          <w:lang w:val="en-US"/>
        </w:rPr>
        <w:t>2</w:t>
      </w:r>
      <w:r w:rsidR="00A802C1">
        <w:rPr>
          <w:szCs w:val="20"/>
          <w:lang w:val="en-US"/>
        </w:rPr>
        <w:t xml:space="preserve"> </w:t>
      </w:r>
      <w:r w:rsidR="00A6681D">
        <w:rPr>
          <w:szCs w:val="20"/>
          <w:lang w:val="en-US"/>
        </w:rPr>
        <w:t>September</w:t>
      </w:r>
      <w:r w:rsidR="00984E15">
        <w:rPr>
          <w:szCs w:val="20"/>
        </w:rPr>
        <w:t xml:space="preserve"> 2015</w:t>
      </w:r>
    </w:p>
    <w:sectPr w:rsidR="00984E15" w:rsidRPr="00984E15" w:rsidSect="004B438E">
      <w:headerReference w:type="default" r:id="rId11"/>
      <w:footerReference w:type="even" r:id="rId12"/>
      <w:footerReference w:type="default" r:id="rId13"/>
      <w:headerReference w:type="first" r:id="rId14"/>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33" w:rsidRDefault="00330D33" w:rsidP="008A56B3">
      <w:r>
        <w:separator/>
      </w:r>
    </w:p>
    <w:p w:rsidR="00330D33" w:rsidRDefault="00330D33" w:rsidP="008A56B3"/>
  </w:endnote>
  <w:endnote w:type="continuationSeparator" w:id="0">
    <w:p w:rsidR="00330D33" w:rsidRDefault="00330D33" w:rsidP="008A56B3">
      <w:r>
        <w:continuationSeparator/>
      </w:r>
    </w:p>
    <w:p w:rsidR="00330D33" w:rsidRDefault="00330D33"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Default="00C81590" w:rsidP="008A56B3">
    <w:pPr>
      <w:pStyle w:val="AHPRAfootnote"/>
    </w:pPr>
    <w:r>
      <w:fldChar w:fldCharType="begin"/>
    </w:r>
    <w:r w:rsidR="004671AD">
      <w:instrText xml:space="preserve">PAGE  </w:instrText>
    </w:r>
    <w:r>
      <w:fldChar w:fldCharType="end"/>
    </w:r>
  </w:p>
  <w:p w:rsidR="004671AD" w:rsidRDefault="004671AD" w:rsidP="008A56B3">
    <w:pPr>
      <w:pStyle w:val="AHPRAfootnote"/>
    </w:pPr>
  </w:p>
  <w:p w:rsidR="004671AD" w:rsidRDefault="004671AD"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Pr="000E7E28" w:rsidRDefault="007A17A4" w:rsidP="007840D7">
    <w:pPr>
      <w:pStyle w:val="AHPRApagenumber"/>
      <w:tabs>
        <w:tab w:val="center" w:pos="4536"/>
        <w:tab w:val="right" w:pos="9356"/>
      </w:tabs>
      <w:ind w:right="-233"/>
      <w:jc w:val="left"/>
    </w:pPr>
    <w:r>
      <w:fldChar w:fldCharType="begin"/>
    </w:r>
    <w:r>
      <w:instrText xml:space="preserve"> STYLEREF "AHPRA Document title" \* MERGEFORMAT </w:instrText>
    </w:r>
    <w:r>
      <w:fldChar w:fldCharType="separate"/>
    </w:r>
    <w:r>
      <w:rPr>
        <w:noProof/>
      </w:rPr>
      <w:t>Communiqué</w:t>
    </w:r>
    <w:r>
      <w:rPr>
        <w:noProof/>
      </w:rPr>
      <w:fldChar w:fldCharType="end"/>
    </w:r>
    <w:r w:rsidR="004671AD">
      <w:t xml:space="preserve"> / </w:t>
    </w:r>
    <w:r w:rsidR="00C81590">
      <w:fldChar w:fldCharType="begin"/>
    </w:r>
    <w:r w:rsidR="00B50797">
      <w:instrText xml:space="preserve"> DATE \@ "d MMMM y" \* MERGEFORMAT </w:instrText>
    </w:r>
    <w:r w:rsidR="00C81590">
      <w:fldChar w:fldCharType="separate"/>
    </w:r>
    <w:r>
      <w:rPr>
        <w:noProof/>
      </w:rPr>
      <w:t>3 September 15</w:t>
    </w:r>
    <w:r w:rsidR="00C81590">
      <w:rPr>
        <w:noProof/>
      </w:rPr>
      <w:fldChar w:fldCharType="end"/>
    </w:r>
    <w:sdt>
      <w:sdtPr>
        <w:id w:val="16333165"/>
        <w:docPartObj>
          <w:docPartGallery w:val="Page Numbers (Top of Page)"/>
          <w:docPartUnique/>
        </w:docPartObj>
      </w:sdtPr>
      <w:sdtEndPr/>
      <w:sdtContent>
        <w:r w:rsidR="004671AD">
          <w:tab/>
        </w:r>
        <w:r w:rsidR="004671AD">
          <w:tab/>
        </w:r>
        <w:r w:rsidR="004671AD" w:rsidRPr="000E7E28">
          <w:t xml:space="preserve">Page </w:t>
        </w:r>
        <w:r w:rsidR="00C81590">
          <w:fldChar w:fldCharType="begin"/>
        </w:r>
        <w:r w:rsidR="00B50797">
          <w:instrText xml:space="preserve"> PAGE </w:instrText>
        </w:r>
        <w:r w:rsidR="00C81590">
          <w:fldChar w:fldCharType="separate"/>
        </w:r>
        <w:r>
          <w:rPr>
            <w:noProof/>
          </w:rPr>
          <w:t>2</w:t>
        </w:r>
        <w:r w:rsidR="00C81590">
          <w:rPr>
            <w:noProof/>
          </w:rPr>
          <w:fldChar w:fldCharType="end"/>
        </w:r>
        <w:r w:rsidR="004671AD" w:rsidRPr="000E7E28">
          <w:t xml:space="preserve"> of </w:t>
        </w:r>
        <w:r w:rsidR="00C81590">
          <w:fldChar w:fldCharType="begin"/>
        </w:r>
        <w:r w:rsidR="00B50797">
          <w:instrText xml:space="preserve"> NUMPAGES  </w:instrText>
        </w:r>
        <w:r w:rsidR="00C81590">
          <w:fldChar w:fldCharType="separate"/>
        </w:r>
        <w:r>
          <w:rPr>
            <w:noProof/>
          </w:rPr>
          <w:t>2</w:t>
        </w:r>
        <w:r w:rsidR="00C8159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33" w:rsidRDefault="00330D33" w:rsidP="008A56B3">
      <w:r>
        <w:separator/>
      </w:r>
    </w:p>
  </w:footnote>
  <w:footnote w:type="continuationSeparator" w:id="0">
    <w:p w:rsidR="00330D33" w:rsidRDefault="00330D33" w:rsidP="008A56B3">
      <w:r>
        <w:continuationSeparator/>
      </w:r>
    </w:p>
    <w:p w:rsidR="00330D33" w:rsidRDefault="00330D33" w:rsidP="008A56B3"/>
  </w:footnote>
  <w:footnote w:type="continuationNotice" w:id="1">
    <w:p w:rsidR="00330D33" w:rsidRDefault="00330D33"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Pr="00315933" w:rsidRDefault="004671AD" w:rsidP="008A56B3"/>
  <w:p w:rsidR="004671AD" w:rsidRDefault="004671AD"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Default="004671AD"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4671AD" w:rsidRDefault="004671AD" w:rsidP="008A56B3"/>
  <w:p w:rsidR="004671AD" w:rsidRDefault="004671AD" w:rsidP="008A56B3"/>
  <w:p w:rsidR="004671AD" w:rsidRDefault="004671AD" w:rsidP="008A56B3"/>
  <w:p w:rsidR="004671AD" w:rsidRDefault="004671AD" w:rsidP="008A56B3"/>
  <w:p w:rsidR="004671AD" w:rsidRDefault="004671AD"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89C"/>
    <w:multiLevelType w:val="hybridMultilevel"/>
    <w:tmpl w:val="56B4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80D"/>
    <w:multiLevelType w:val="hybridMultilevel"/>
    <w:tmpl w:val="13A4F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62734"/>
    <w:multiLevelType w:val="hybridMultilevel"/>
    <w:tmpl w:val="810AF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B17D6"/>
    <w:multiLevelType w:val="multilevel"/>
    <w:tmpl w:val="C4183F12"/>
    <w:numStyleLink w:val="AHPRANumberedlist"/>
  </w:abstractNum>
  <w:abstractNum w:abstractNumId="5"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6"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0D193D64"/>
    <w:multiLevelType w:val="hybridMultilevel"/>
    <w:tmpl w:val="A888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D3EC6"/>
    <w:multiLevelType w:val="hybridMultilevel"/>
    <w:tmpl w:val="CC7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D42B8"/>
    <w:multiLevelType w:val="hybridMultilevel"/>
    <w:tmpl w:val="BCA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D19FF"/>
    <w:multiLevelType w:val="multilevel"/>
    <w:tmpl w:val="BE20683A"/>
    <w:numStyleLink w:val="AHPRANumberedheadinglist"/>
  </w:abstractNum>
  <w:abstractNum w:abstractNumId="12" w15:restartNumberingAfterBreak="0">
    <w:nsid w:val="15714E62"/>
    <w:multiLevelType w:val="hybridMultilevel"/>
    <w:tmpl w:val="B0B0F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D84F9D"/>
    <w:multiLevelType w:val="hybridMultilevel"/>
    <w:tmpl w:val="EDA21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73E2C"/>
    <w:multiLevelType w:val="hybridMultilevel"/>
    <w:tmpl w:val="DBD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E53EC"/>
    <w:multiLevelType w:val="hybridMultilevel"/>
    <w:tmpl w:val="F7D0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416A0"/>
    <w:multiLevelType w:val="hybridMultilevel"/>
    <w:tmpl w:val="6652B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3D5E99"/>
    <w:multiLevelType w:val="hybridMultilevel"/>
    <w:tmpl w:val="C5B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54A25"/>
    <w:multiLevelType w:val="hybridMultilevel"/>
    <w:tmpl w:val="795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2578D"/>
    <w:multiLevelType w:val="multilevel"/>
    <w:tmpl w:val="BE20683A"/>
    <w:numStyleLink w:val="AHPRANumberedheadinglist"/>
  </w:abstractNum>
  <w:abstractNum w:abstractNumId="20" w15:restartNumberingAfterBreak="0">
    <w:nsid w:val="286A1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1F4DC4"/>
    <w:multiLevelType w:val="hybridMultilevel"/>
    <w:tmpl w:val="3B1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A74E5"/>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B585523"/>
    <w:multiLevelType w:val="hybridMultilevel"/>
    <w:tmpl w:val="E29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B3714"/>
    <w:multiLevelType w:val="multilevel"/>
    <w:tmpl w:val="C4183F12"/>
    <w:numStyleLink w:val="AHPRANumberedlist"/>
  </w:abstractNum>
  <w:abstractNum w:abstractNumId="26" w15:restartNumberingAfterBreak="0">
    <w:nsid w:val="3E963C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24143C"/>
    <w:multiLevelType w:val="hybridMultilevel"/>
    <w:tmpl w:val="CCDA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252EB"/>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A3ABE"/>
    <w:multiLevelType w:val="hybridMultilevel"/>
    <w:tmpl w:val="B30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37982"/>
    <w:multiLevelType w:val="hybridMultilevel"/>
    <w:tmpl w:val="75FC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4433A"/>
    <w:multiLevelType w:val="multilevel"/>
    <w:tmpl w:val="C4183F12"/>
    <w:numStyleLink w:val="AHPRANumberedlist"/>
  </w:abstractNum>
  <w:abstractNum w:abstractNumId="33" w15:restartNumberingAfterBreak="0">
    <w:nsid w:val="518E0391"/>
    <w:multiLevelType w:val="hybridMultilevel"/>
    <w:tmpl w:val="F92A7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0840D8"/>
    <w:multiLevelType w:val="hybridMultilevel"/>
    <w:tmpl w:val="BD68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B7666"/>
    <w:multiLevelType w:val="hybridMultilevel"/>
    <w:tmpl w:val="F18AC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B5D93"/>
    <w:multiLevelType w:val="multilevel"/>
    <w:tmpl w:val="32320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3B156F1"/>
    <w:multiLevelType w:val="hybridMultilevel"/>
    <w:tmpl w:val="6C8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8E73C72"/>
    <w:multiLevelType w:val="hybridMultilevel"/>
    <w:tmpl w:val="2346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C55E0"/>
    <w:multiLevelType w:val="hybridMultilevel"/>
    <w:tmpl w:val="C96835DA"/>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E154B0"/>
    <w:multiLevelType w:val="multilevel"/>
    <w:tmpl w:val="C4183F12"/>
    <w:numStyleLink w:val="AHPRANumberedlist"/>
  </w:abstractNum>
  <w:abstractNum w:abstractNumId="42" w15:restartNumberingAfterBreak="0">
    <w:nsid w:val="7AE57532"/>
    <w:multiLevelType w:val="hybridMultilevel"/>
    <w:tmpl w:val="8B6C1C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2610BB"/>
    <w:multiLevelType w:val="hybridMultilevel"/>
    <w:tmpl w:val="FF68D3A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1660"/>
    <w:multiLevelType w:val="multilevel"/>
    <w:tmpl w:val="C4183F12"/>
    <w:numStyleLink w:val="AHPRANumberedlist"/>
  </w:abstractNum>
  <w:abstractNum w:abstractNumId="45" w15:restartNumberingAfterBreak="0">
    <w:nsid w:val="7F6A57DC"/>
    <w:multiLevelType w:val="hybridMultilevel"/>
    <w:tmpl w:val="505A0D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0"/>
  </w:num>
  <w:num w:numId="2">
    <w:abstractNumId w:val="29"/>
  </w:num>
  <w:num w:numId="3">
    <w:abstractNumId w:val="5"/>
  </w:num>
  <w:num w:numId="4">
    <w:abstractNumId w:val="7"/>
  </w:num>
  <w:num w:numId="5">
    <w:abstractNumId w:val="11"/>
  </w:num>
  <w:num w:numId="6">
    <w:abstractNumId w:val="19"/>
  </w:num>
  <w:num w:numId="7">
    <w:abstractNumId w:val="4"/>
  </w:num>
  <w:num w:numId="8">
    <w:abstractNumId w:val="22"/>
  </w:num>
  <w:num w:numId="9">
    <w:abstractNumId w:val="43"/>
  </w:num>
  <w:num w:numId="10">
    <w:abstractNumId w:val="32"/>
  </w:num>
  <w:num w:numId="11">
    <w:abstractNumId w:val="6"/>
  </w:num>
  <w:num w:numId="12">
    <w:abstractNumId w:val="41"/>
  </w:num>
  <w:num w:numId="13">
    <w:abstractNumId w:val="44"/>
  </w:num>
  <w:num w:numId="14">
    <w:abstractNumId w:val="27"/>
  </w:num>
  <w:num w:numId="15">
    <w:abstractNumId w:val="35"/>
  </w:num>
  <w:num w:numId="16">
    <w:abstractNumId w:val="16"/>
  </w:num>
  <w:num w:numId="17">
    <w:abstractNumId w:val="2"/>
  </w:num>
  <w:num w:numId="18">
    <w:abstractNumId w:val="13"/>
  </w:num>
  <w:num w:numId="19">
    <w:abstractNumId w:val="15"/>
  </w:num>
  <w:num w:numId="20">
    <w:abstractNumId w:val="30"/>
  </w:num>
  <w:num w:numId="21">
    <w:abstractNumId w:val="8"/>
  </w:num>
  <w:num w:numId="22">
    <w:abstractNumId w:val="31"/>
  </w:num>
  <w:num w:numId="23">
    <w:abstractNumId w:val="34"/>
  </w:num>
  <w:num w:numId="24">
    <w:abstractNumId w:val="12"/>
  </w:num>
  <w:num w:numId="25">
    <w:abstractNumId w:val="42"/>
  </w:num>
  <w:num w:numId="26">
    <w:abstractNumId w:val="0"/>
  </w:num>
  <w:num w:numId="27">
    <w:abstractNumId w:val="33"/>
  </w:num>
  <w:num w:numId="28">
    <w:abstractNumId w:val="39"/>
  </w:num>
  <w:num w:numId="29">
    <w:abstractNumId w:val="14"/>
  </w:num>
  <w:num w:numId="30">
    <w:abstractNumId w:val="10"/>
  </w:num>
  <w:num w:numId="31">
    <w:abstractNumId w:val="9"/>
  </w:num>
  <w:num w:numId="32">
    <w:abstractNumId w:val="37"/>
  </w:num>
  <w:num w:numId="33">
    <w:abstractNumId w:val="17"/>
  </w:num>
  <w:num w:numId="34">
    <w:abstractNumId w:val="21"/>
  </w:num>
  <w:num w:numId="35">
    <w:abstractNumId w:val="1"/>
  </w:num>
  <w:num w:numId="36">
    <w:abstractNumId w:val="18"/>
  </w:num>
  <w:num w:numId="37">
    <w:abstractNumId w:val="24"/>
  </w:num>
  <w:num w:numId="38">
    <w:abstractNumId w:val="26"/>
  </w:num>
  <w:num w:numId="39">
    <w:abstractNumId w:val="23"/>
  </w:num>
  <w:num w:numId="40">
    <w:abstractNumId w:val="28"/>
  </w:num>
  <w:num w:numId="41">
    <w:abstractNumId w:val="20"/>
  </w:num>
  <w:num w:numId="42">
    <w:abstractNumId w:val="25"/>
  </w:num>
  <w:num w:numId="4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0033"/>
    <w:rsid w:val="00006922"/>
    <w:rsid w:val="00023904"/>
    <w:rsid w:val="000334D7"/>
    <w:rsid w:val="00052BF3"/>
    <w:rsid w:val="00061983"/>
    <w:rsid w:val="00061A94"/>
    <w:rsid w:val="00071439"/>
    <w:rsid w:val="00082158"/>
    <w:rsid w:val="000945FB"/>
    <w:rsid w:val="000A6BF7"/>
    <w:rsid w:val="000E29C2"/>
    <w:rsid w:val="000E6D3A"/>
    <w:rsid w:val="000E7E28"/>
    <w:rsid w:val="000F5D90"/>
    <w:rsid w:val="0010139F"/>
    <w:rsid w:val="00107F83"/>
    <w:rsid w:val="0011487C"/>
    <w:rsid w:val="00144DEF"/>
    <w:rsid w:val="00146F33"/>
    <w:rsid w:val="001506FE"/>
    <w:rsid w:val="00162C6D"/>
    <w:rsid w:val="00196F14"/>
    <w:rsid w:val="001C425C"/>
    <w:rsid w:val="001C5EAE"/>
    <w:rsid w:val="001D01AA"/>
    <w:rsid w:val="001E1E31"/>
    <w:rsid w:val="001E2849"/>
    <w:rsid w:val="001E4A94"/>
    <w:rsid w:val="001E5621"/>
    <w:rsid w:val="002040A7"/>
    <w:rsid w:val="002169EA"/>
    <w:rsid w:val="00220A3B"/>
    <w:rsid w:val="00224708"/>
    <w:rsid w:val="0022736D"/>
    <w:rsid w:val="0028013F"/>
    <w:rsid w:val="00295B44"/>
    <w:rsid w:val="002A45B4"/>
    <w:rsid w:val="002A6406"/>
    <w:rsid w:val="002B2D48"/>
    <w:rsid w:val="002C08FB"/>
    <w:rsid w:val="002C34EA"/>
    <w:rsid w:val="002D599C"/>
    <w:rsid w:val="00301BC0"/>
    <w:rsid w:val="00303BE1"/>
    <w:rsid w:val="00305AFC"/>
    <w:rsid w:val="00330D33"/>
    <w:rsid w:val="003354E4"/>
    <w:rsid w:val="00361DE0"/>
    <w:rsid w:val="00393516"/>
    <w:rsid w:val="003A4E0E"/>
    <w:rsid w:val="003B5E14"/>
    <w:rsid w:val="003D0B3C"/>
    <w:rsid w:val="003D6DBD"/>
    <w:rsid w:val="003E00B5"/>
    <w:rsid w:val="003E3268"/>
    <w:rsid w:val="003E6BB2"/>
    <w:rsid w:val="003F2F06"/>
    <w:rsid w:val="003F714C"/>
    <w:rsid w:val="00405C0A"/>
    <w:rsid w:val="00414AF0"/>
    <w:rsid w:val="00414F2C"/>
    <w:rsid w:val="00416F51"/>
    <w:rsid w:val="00450B34"/>
    <w:rsid w:val="004606A7"/>
    <w:rsid w:val="00462F0F"/>
    <w:rsid w:val="004671AD"/>
    <w:rsid w:val="004A21F7"/>
    <w:rsid w:val="004A5E5D"/>
    <w:rsid w:val="004B438E"/>
    <w:rsid w:val="004B747B"/>
    <w:rsid w:val="004C63AF"/>
    <w:rsid w:val="004D7537"/>
    <w:rsid w:val="004F5C05"/>
    <w:rsid w:val="005056B4"/>
    <w:rsid w:val="00516EF2"/>
    <w:rsid w:val="00520AD6"/>
    <w:rsid w:val="00530BFF"/>
    <w:rsid w:val="0053749F"/>
    <w:rsid w:val="00546B56"/>
    <w:rsid w:val="005518A4"/>
    <w:rsid w:val="00553A4C"/>
    <w:rsid w:val="00554335"/>
    <w:rsid w:val="005565CE"/>
    <w:rsid w:val="00565BBC"/>
    <w:rsid w:val="005708AE"/>
    <w:rsid w:val="00580A5B"/>
    <w:rsid w:val="005826C0"/>
    <w:rsid w:val="00586F30"/>
    <w:rsid w:val="005A0FA9"/>
    <w:rsid w:val="005C5932"/>
    <w:rsid w:val="005C6817"/>
    <w:rsid w:val="005E0245"/>
    <w:rsid w:val="005F393C"/>
    <w:rsid w:val="00607681"/>
    <w:rsid w:val="00616043"/>
    <w:rsid w:val="00622247"/>
    <w:rsid w:val="00622692"/>
    <w:rsid w:val="00640B2C"/>
    <w:rsid w:val="0064226A"/>
    <w:rsid w:val="00652069"/>
    <w:rsid w:val="006600F0"/>
    <w:rsid w:val="00663E87"/>
    <w:rsid w:val="00666B15"/>
    <w:rsid w:val="00667CAD"/>
    <w:rsid w:val="00670F48"/>
    <w:rsid w:val="00672A98"/>
    <w:rsid w:val="00681D5E"/>
    <w:rsid w:val="006870F9"/>
    <w:rsid w:val="006C0257"/>
    <w:rsid w:val="006C0E29"/>
    <w:rsid w:val="006D30FE"/>
    <w:rsid w:val="006D3757"/>
    <w:rsid w:val="006D45FD"/>
    <w:rsid w:val="006D6D35"/>
    <w:rsid w:val="006E19CD"/>
    <w:rsid w:val="006F3204"/>
    <w:rsid w:val="006F585B"/>
    <w:rsid w:val="006F7348"/>
    <w:rsid w:val="006F796D"/>
    <w:rsid w:val="0070155F"/>
    <w:rsid w:val="007372A4"/>
    <w:rsid w:val="00741B04"/>
    <w:rsid w:val="00743DD2"/>
    <w:rsid w:val="00756249"/>
    <w:rsid w:val="0076115C"/>
    <w:rsid w:val="007664F3"/>
    <w:rsid w:val="007840D7"/>
    <w:rsid w:val="007907EC"/>
    <w:rsid w:val="0079197C"/>
    <w:rsid w:val="007A17A4"/>
    <w:rsid w:val="007A35B9"/>
    <w:rsid w:val="007B77D6"/>
    <w:rsid w:val="007C0B6E"/>
    <w:rsid w:val="007D4836"/>
    <w:rsid w:val="007E2331"/>
    <w:rsid w:val="007E2C84"/>
    <w:rsid w:val="007E3545"/>
    <w:rsid w:val="007F0095"/>
    <w:rsid w:val="008338F7"/>
    <w:rsid w:val="00836397"/>
    <w:rsid w:val="00845054"/>
    <w:rsid w:val="00852D1C"/>
    <w:rsid w:val="00856147"/>
    <w:rsid w:val="00860F40"/>
    <w:rsid w:val="008615C9"/>
    <w:rsid w:val="00864020"/>
    <w:rsid w:val="00864173"/>
    <w:rsid w:val="00873920"/>
    <w:rsid w:val="008979D5"/>
    <w:rsid w:val="008A2A8D"/>
    <w:rsid w:val="008A4C3B"/>
    <w:rsid w:val="008A56B3"/>
    <w:rsid w:val="008B2AD7"/>
    <w:rsid w:val="008C5F92"/>
    <w:rsid w:val="008D6B7E"/>
    <w:rsid w:val="008D7845"/>
    <w:rsid w:val="008F0686"/>
    <w:rsid w:val="008F5D89"/>
    <w:rsid w:val="009031EA"/>
    <w:rsid w:val="009138F9"/>
    <w:rsid w:val="0092054F"/>
    <w:rsid w:val="00923B23"/>
    <w:rsid w:val="009255BD"/>
    <w:rsid w:val="00937ED0"/>
    <w:rsid w:val="00944DA7"/>
    <w:rsid w:val="00952797"/>
    <w:rsid w:val="009777D3"/>
    <w:rsid w:val="00984E15"/>
    <w:rsid w:val="009859E6"/>
    <w:rsid w:val="009A0A5D"/>
    <w:rsid w:val="009A7957"/>
    <w:rsid w:val="009C6933"/>
    <w:rsid w:val="009D0759"/>
    <w:rsid w:val="009E4D57"/>
    <w:rsid w:val="009F3F6B"/>
    <w:rsid w:val="00A04C7A"/>
    <w:rsid w:val="00A058E5"/>
    <w:rsid w:val="00A10C1A"/>
    <w:rsid w:val="00A10F51"/>
    <w:rsid w:val="00A2072E"/>
    <w:rsid w:val="00A237BB"/>
    <w:rsid w:val="00A41D89"/>
    <w:rsid w:val="00A44A9E"/>
    <w:rsid w:val="00A458ED"/>
    <w:rsid w:val="00A509AB"/>
    <w:rsid w:val="00A63991"/>
    <w:rsid w:val="00A6681D"/>
    <w:rsid w:val="00A76BFC"/>
    <w:rsid w:val="00A802C1"/>
    <w:rsid w:val="00A82078"/>
    <w:rsid w:val="00A838C8"/>
    <w:rsid w:val="00A86D88"/>
    <w:rsid w:val="00A91C42"/>
    <w:rsid w:val="00A91ED9"/>
    <w:rsid w:val="00A9516B"/>
    <w:rsid w:val="00A96861"/>
    <w:rsid w:val="00A9780A"/>
    <w:rsid w:val="00AA00AF"/>
    <w:rsid w:val="00AA2FC9"/>
    <w:rsid w:val="00AB283D"/>
    <w:rsid w:val="00AB3A62"/>
    <w:rsid w:val="00AB41D8"/>
    <w:rsid w:val="00AC663C"/>
    <w:rsid w:val="00AD312E"/>
    <w:rsid w:val="00AE3EAF"/>
    <w:rsid w:val="00B024B0"/>
    <w:rsid w:val="00B104B9"/>
    <w:rsid w:val="00B14866"/>
    <w:rsid w:val="00B34EDA"/>
    <w:rsid w:val="00B465D2"/>
    <w:rsid w:val="00B50797"/>
    <w:rsid w:val="00B51241"/>
    <w:rsid w:val="00B51748"/>
    <w:rsid w:val="00B57198"/>
    <w:rsid w:val="00B85023"/>
    <w:rsid w:val="00BA1216"/>
    <w:rsid w:val="00BA2456"/>
    <w:rsid w:val="00BA469B"/>
    <w:rsid w:val="00BB4A5B"/>
    <w:rsid w:val="00BF2534"/>
    <w:rsid w:val="00BF79DC"/>
    <w:rsid w:val="00C0009B"/>
    <w:rsid w:val="00C051DA"/>
    <w:rsid w:val="00C35DE1"/>
    <w:rsid w:val="00C3795C"/>
    <w:rsid w:val="00C524AA"/>
    <w:rsid w:val="00C54689"/>
    <w:rsid w:val="00C7035B"/>
    <w:rsid w:val="00C81590"/>
    <w:rsid w:val="00C81B3A"/>
    <w:rsid w:val="00C84AE0"/>
    <w:rsid w:val="00C85A14"/>
    <w:rsid w:val="00C90915"/>
    <w:rsid w:val="00CB6C08"/>
    <w:rsid w:val="00CD0DCA"/>
    <w:rsid w:val="00CE5855"/>
    <w:rsid w:val="00D12F61"/>
    <w:rsid w:val="00D201C6"/>
    <w:rsid w:val="00D476D0"/>
    <w:rsid w:val="00D544E0"/>
    <w:rsid w:val="00D638E0"/>
    <w:rsid w:val="00D65016"/>
    <w:rsid w:val="00D716BA"/>
    <w:rsid w:val="00D83C90"/>
    <w:rsid w:val="00D8404D"/>
    <w:rsid w:val="00D87C12"/>
    <w:rsid w:val="00DB191A"/>
    <w:rsid w:val="00DC2952"/>
    <w:rsid w:val="00DF1AB7"/>
    <w:rsid w:val="00E07C02"/>
    <w:rsid w:val="00E11540"/>
    <w:rsid w:val="00E12B06"/>
    <w:rsid w:val="00E15BF6"/>
    <w:rsid w:val="00E4514A"/>
    <w:rsid w:val="00E54005"/>
    <w:rsid w:val="00E71CB9"/>
    <w:rsid w:val="00E73698"/>
    <w:rsid w:val="00E77E23"/>
    <w:rsid w:val="00E8251C"/>
    <w:rsid w:val="00E844A0"/>
    <w:rsid w:val="00E862B8"/>
    <w:rsid w:val="00EA248E"/>
    <w:rsid w:val="00ED2159"/>
    <w:rsid w:val="00F13ED2"/>
    <w:rsid w:val="00F15E84"/>
    <w:rsid w:val="00F27ACB"/>
    <w:rsid w:val="00F3616F"/>
    <w:rsid w:val="00F40047"/>
    <w:rsid w:val="00F51506"/>
    <w:rsid w:val="00F6418D"/>
    <w:rsid w:val="00F6618F"/>
    <w:rsid w:val="00F70DD5"/>
    <w:rsid w:val="00F73165"/>
    <w:rsid w:val="00F76B61"/>
    <w:rsid w:val="00F85C24"/>
    <w:rsid w:val="00F90BCE"/>
    <w:rsid w:val="00FC2881"/>
    <w:rsid w:val="00FC3B82"/>
    <w:rsid w:val="00FD7DB5"/>
    <w:rsid w:val="00FD7DC1"/>
    <w:rsid w:val="00FF78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rules v:ext="edit">
        <o:r id="V:Rule2" type="connector" idref="#AutoShape 3"/>
      </o:rules>
    </o:shapelayout>
  </w:shapeDefaults>
  <w:decimalSymbol w:val="."/>
  <w:listSeparator w:val=","/>
  <w15:docId w15:val="{8032A26D-77C9-49E6-AEBF-D5CCDB6F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11"/>
      </w:numPr>
    </w:pPr>
  </w:style>
  <w:style w:type="paragraph" w:styleId="Heading3">
    <w:name w:val="heading 3"/>
    <w:basedOn w:val="AHPRASubheadinglevel3"/>
    <w:next w:val="Normal"/>
    <w:link w:val="Heading3Char"/>
    <w:uiPriority w:val="9"/>
    <w:unhideWhenUsed/>
    <w:qFormat/>
    <w:rsid w:val="008A56B3"/>
    <w:pPr>
      <w:numPr>
        <w:ilvl w:val="2"/>
        <w:numId w:val="11"/>
      </w:numPr>
      <w:outlineLvl w:val="2"/>
    </w:pPr>
  </w:style>
  <w:style w:type="paragraph" w:styleId="Heading4">
    <w:name w:val="heading 4"/>
    <w:basedOn w:val="Normal"/>
    <w:next w:val="Normal"/>
    <w:link w:val="Heading4Char"/>
    <w:uiPriority w:val="9"/>
    <w:semiHidden/>
    <w:unhideWhenUsed/>
    <w:rsid w:val="008A56B3"/>
    <w:pPr>
      <w:keepNext/>
      <w:keepLines/>
      <w:numPr>
        <w:ilvl w:val="3"/>
        <w:numId w:val="1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11"/>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2"/>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11"/>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42"/>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43"/>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43"/>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46"/>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Panel-member-recruitmen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teopathyboard.gov.au" TargetMode="External"/><Relationship Id="rId4" Type="http://schemas.openxmlformats.org/officeDocument/2006/relationships/settings" Target="settings.xml"/><Relationship Id="rId9" Type="http://schemas.openxmlformats.org/officeDocument/2006/relationships/hyperlink" Target="http://www.coaghealthcouncil.gov.au/Announcements/ArtMID/527/ArticleID/71/Reissued-Communique-Final-Report-of-the-Independent-Review-on-the-National-Accreditation-Scheme-for-health-professiona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DE70-AB45-4BC5-9682-1066F342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Osteopathy Board - Communique - Meeting of the Osteopathy Board of Australia</vt:lpstr>
    </vt:vector>
  </TitlesOfParts>
  <Company>Johanna Villani Design</Company>
  <LinksUpToDate>false</LinksUpToDate>
  <CharactersWithSpaces>3830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Osteopathy Board - Communique - Meeting of the Osteopathy Board of Australia</dc:title>
  <dc:subject>Communique</dc:subject>
  <dc:creator>Osteopathy Board</dc:creator>
  <cp:keywords>27 August 2015</cp:keywords>
  <cp:lastModifiedBy>Tara Johnson</cp:lastModifiedBy>
  <cp:revision>3</cp:revision>
  <cp:lastPrinted>2015-09-03T00:54:00Z</cp:lastPrinted>
  <dcterms:created xsi:type="dcterms:W3CDTF">2015-09-03T00:53:00Z</dcterms:created>
  <dcterms:modified xsi:type="dcterms:W3CDTF">2015-09-03T00:54:00Z</dcterms:modified>
</cp:coreProperties>
</file>