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107F83" w:rsidP="008A56B3">
      <w:pPr>
        <w:pStyle w:val="AHPRADocumenttitle"/>
      </w:pPr>
      <w:r>
        <w:rPr>
          <w:noProof/>
          <w:lang w:eastAsia="en-AU"/>
        </w:rPr>
        <mc:AlternateContent>
          <mc:Choice Requires="wps">
            <w:drawing>
              <wp:anchor distT="4294967292" distB="4294967292" distL="114300" distR="114300" simplePos="0" relativeHeight="251657728" behindDoc="0" locked="0" layoutInCell="1" allowOverlap="1" wp14:anchorId="3F1B3741" wp14:editId="12239A06">
                <wp:simplePos x="0" y="0"/>
                <wp:positionH relativeFrom="column">
                  <wp:posOffset>-800735</wp:posOffset>
                </wp:positionH>
                <wp:positionV relativeFrom="paragraph">
                  <wp:posOffset>462279</wp:posOffset>
                </wp:positionV>
                <wp:extent cx="3925570" cy="0"/>
                <wp:effectExtent l="0" t="0" r="1778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67C4B" id="_x0000_t32" coordsize="21600,21600" o:spt="32" o:oned="t" path="m,l21600,21600e" filled="f">
                <v:path arrowok="t" fillok="f" o:connecttype="none"/>
                <o:lock v:ext="edit" shapetype="t"/>
              </v:shapetype>
              <v:shape id="AutoShape 3" o:spid="_x0000_s1026" type="#_x0000_t32" style="position:absolute;margin-left:-63.05pt;margin-top:36.4pt;width:309.1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9D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"/>
            </w:pict>
          </mc:Fallback>
        </mc:AlternateContent>
      </w:r>
      <w:r w:rsidR="00984E15">
        <w:rPr>
          <w:noProof/>
          <w:lang w:val="en-US"/>
        </w:rPr>
        <w:t>Communiqué</w:t>
      </w:r>
    </w:p>
    <w:p w:rsidR="009138F9" w:rsidRDefault="009138F9" w:rsidP="000E29C2">
      <w:pPr>
        <w:spacing w:line="360" w:lineRule="auto"/>
      </w:pPr>
    </w:p>
    <w:p w:rsidR="00622247" w:rsidRDefault="004C63AF" w:rsidP="00984E15">
      <w:pPr>
        <w:pStyle w:val="AHPRADocumentsubheading"/>
      </w:pPr>
      <w:r>
        <w:t>2</w:t>
      </w:r>
      <w:r w:rsidR="008C5F92">
        <w:t>5</w:t>
      </w:r>
      <w:r>
        <w:t xml:space="preserve"> </w:t>
      </w:r>
      <w:r w:rsidR="005056B4">
        <w:t>June</w:t>
      </w:r>
      <w:r w:rsidR="00C7035B">
        <w:t xml:space="preserve"> 2015</w:t>
      </w:r>
      <w:r w:rsidR="00984E15" w:rsidRPr="00984E15">
        <w:t xml:space="preserve"> meeting of the Osteopathy Board of Australia</w:t>
      </w:r>
    </w:p>
    <w:p w:rsidR="00984E15" w:rsidRDefault="00984E15" w:rsidP="00984E15">
      <w:pPr>
        <w:pStyle w:val="AHPRAbody"/>
      </w:pPr>
      <w:r>
        <w:rPr>
          <w:rFonts w:cs="Arial"/>
          <w:color w:val="000000"/>
        </w:rPr>
        <w:t xml:space="preserve">The </w:t>
      </w:r>
      <w:r w:rsidR="00C7035B">
        <w:rPr>
          <w:rFonts w:cs="Arial"/>
          <w:color w:val="000000"/>
        </w:rPr>
        <w:t>6</w:t>
      </w:r>
      <w:r w:rsidR="005056B4">
        <w:rPr>
          <w:rFonts w:cs="Arial"/>
          <w:color w:val="000000"/>
        </w:rPr>
        <w:t>9</w:t>
      </w:r>
      <w:r w:rsidR="00C7035B" w:rsidRPr="00663202">
        <w:rPr>
          <w:rFonts w:cs="Arial"/>
          <w:color w:val="000000"/>
          <w:vertAlign w:val="superscript"/>
        </w:rPr>
        <w:t>th</w:t>
      </w:r>
      <w:r w:rsidR="00C7035B">
        <w:rPr>
          <w:rFonts w:cs="Arial"/>
          <w:color w:val="000000"/>
          <w:vertAlign w:val="superscript"/>
        </w:rPr>
        <w:t xml:space="preserve"> </w:t>
      </w:r>
      <w:r w:rsidRPr="00DF1D2B">
        <w:rPr>
          <w:rFonts w:cs="Arial"/>
          <w:color w:val="000000"/>
        </w:rPr>
        <w:t xml:space="preserve">meeting of the Osteopathy Board of Australia </w:t>
      </w:r>
      <w:r>
        <w:rPr>
          <w:rFonts w:cs="Arial"/>
          <w:color w:val="000000"/>
        </w:rPr>
        <w:t>(the Board) was</w:t>
      </w:r>
      <w:r w:rsidRPr="00DF1D2B">
        <w:rPr>
          <w:rFonts w:cs="Arial"/>
          <w:color w:val="000000"/>
        </w:rPr>
        <w:t xml:space="preserve"> held</w:t>
      </w:r>
      <w:r>
        <w:rPr>
          <w:rFonts w:cs="Arial"/>
          <w:color w:val="000000"/>
        </w:rPr>
        <w:t xml:space="preserve"> on</w:t>
      </w:r>
      <w:r w:rsidRPr="00EE5AB8">
        <w:rPr>
          <w:lang w:val="en-GB"/>
        </w:rPr>
        <w:t xml:space="preserve"> </w:t>
      </w:r>
      <w:r w:rsidR="005056B4">
        <w:rPr>
          <w:lang w:val="en-GB"/>
        </w:rPr>
        <w:t>2</w:t>
      </w:r>
      <w:r w:rsidR="008C5F92">
        <w:rPr>
          <w:lang w:val="en-GB"/>
        </w:rPr>
        <w:t>5</w:t>
      </w:r>
      <w:r w:rsidR="004C63AF">
        <w:rPr>
          <w:lang w:val="en-GB"/>
        </w:rPr>
        <w:t xml:space="preserve"> </w:t>
      </w:r>
      <w:r w:rsidR="005056B4">
        <w:rPr>
          <w:lang w:val="en-GB"/>
        </w:rPr>
        <w:t>June</w:t>
      </w:r>
      <w:r w:rsidR="00C7035B">
        <w:rPr>
          <w:lang w:val="en-GB"/>
        </w:rPr>
        <w:t xml:space="preserve"> 2015</w:t>
      </w:r>
      <w:r>
        <w:rPr>
          <w:lang w:val="en-GB"/>
        </w:rPr>
        <w:t xml:space="preserve"> in </w:t>
      </w:r>
      <w:r w:rsidR="005056B4">
        <w:rPr>
          <w:lang w:val="en-GB"/>
        </w:rPr>
        <w:t>Sydney</w:t>
      </w:r>
      <w:r>
        <w:rPr>
          <w:rFonts w:cs="Arial"/>
        </w:rPr>
        <w:t xml:space="preserve">. </w:t>
      </w:r>
      <w:r w:rsidR="00F6418D">
        <w:rPr>
          <w:rFonts w:cs="Arial"/>
        </w:rPr>
        <w:t xml:space="preserve">The Board also met with key stakeholders Osteopathy Australia and the Osteopathic Council of NSW. </w:t>
      </w:r>
      <w:r w:rsidRPr="000E3140">
        <w:t>This communiqué highlights key discussions and considerations from the Board’s</w:t>
      </w:r>
      <w:r>
        <w:t xml:space="preserve"> meeting. The Board publishes</w:t>
      </w:r>
      <w:r w:rsidRPr="00F362BF">
        <w:t xml:space="preserve"> this communiqué on our website and email</w:t>
      </w:r>
      <w:r>
        <w:t>s</w:t>
      </w:r>
      <w:r w:rsidRPr="00F362BF">
        <w:t xml:space="preserve"> it to a broad range of stakeholders. </w:t>
      </w:r>
      <w:r w:rsidRPr="00D97E48">
        <w:rPr>
          <w:rFonts w:cs="Arial"/>
        </w:rPr>
        <w:t xml:space="preserve">At each meeting, the Board considers a wide range of issues, many of which are routine and are </w:t>
      </w:r>
      <w:r>
        <w:rPr>
          <w:rFonts w:cs="Arial"/>
        </w:rPr>
        <w:t>not included in this communiqué</w:t>
      </w:r>
      <w:r w:rsidRPr="00F362BF">
        <w:t>.</w:t>
      </w:r>
    </w:p>
    <w:p w:rsidR="004C63AF" w:rsidRPr="00BF5B32" w:rsidRDefault="009D0759" w:rsidP="004C63AF">
      <w:pPr>
        <w:pStyle w:val="Default"/>
        <w:spacing w:after="200"/>
        <w:rPr>
          <w:b/>
          <w:bCs/>
          <w:color w:val="008EC4"/>
          <w:sz w:val="20"/>
          <w:szCs w:val="20"/>
        </w:rPr>
      </w:pPr>
      <w:r>
        <w:rPr>
          <w:b/>
          <w:bCs/>
          <w:color w:val="008EC4"/>
          <w:sz w:val="20"/>
          <w:szCs w:val="20"/>
        </w:rPr>
        <w:t>Meeting with Osteopathy Australia and the Osteopathic Council of NSW</w:t>
      </w:r>
    </w:p>
    <w:p w:rsidR="008C5F92" w:rsidRDefault="00E4514A" w:rsidP="004C63AF">
      <w:pPr>
        <w:pStyle w:val="AHPRAbody"/>
        <w:spacing w:after="120"/>
        <w:rPr>
          <w:szCs w:val="20"/>
        </w:rPr>
      </w:pPr>
      <w:r>
        <w:rPr>
          <w:szCs w:val="20"/>
        </w:rPr>
        <w:t xml:space="preserve">The Board met with Osteopathy Australia </w:t>
      </w:r>
      <w:r w:rsidR="008C5F92">
        <w:rPr>
          <w:szCs w:val="20"/>
        </w:rPr>
        <w:t xml:space="preserve">on 25 June 2015 </w:t>
      </w:r>
      <w:r>
        <w:rPr>
          <w:szCs w:val="20"/>
        </w:rPr>
        <w:t xml:space="preserve">and discussed </w:t>
      </w:r>
      <w:r w:rsidR="008C5F92">
        <w:rPr>
          <w:szCs w:val="20"/>
        </w:rPr>
        <w:t>a range of issues of mutual interest</w:t>
      </w:r>
      <w:r>
        <w:rPr>
          <w:szCs w:val="20"/>
        </w:rPr>
        <w:t xml:space="preserve"> and future engagement</w:t>
      </w:r>
      <w:r w:rsidR="00AB41D8">
        <w:rPr>
          <w:szCs w:val="20"/>
        </w:rPr>
        <w:t>.</w:t>
      </w:r>
      <w:r w:rsidR="008C5F92">
        <w:rPr>
          <w:szCs w:val="20"/>
        </w:rPr>
        <w:t xml:space="preserve"> </w:t>
      </w:r>
    </w:p>
    <w:p w:rsidR="00AB41D8" w:rsidRDefault="00AB41D8" w:rsidP="004C63AF">
      <w:pPr>
        <w:pStyle w:val="AHPRAbody"/>
        <w:spacing w:after="120"/>
        <w:rPr>
          <w:szCs w:val="20"/>
        </w:rPr>
      </w:pPr>
      <w:r>
        <w:rPr>
          <w:szCs w:val="20"/>
        </w:rPr>
        <w:t xml:space="preserve">The Board met with the Osteopathic Council of New South Wales </w:t>
      </w:r>
      <w:r w:rsidR="008C5F92">
        <w:rPr>
          <w:szCs w:val="20"/>
        </w:rPr>
        <w:t xml:space="preserve">on 26 June 2015 </w:t>
      </w:r>
      <w:r>
        <w:rPr>
          <w:szCs w:val="20"/>
        </w:rPr>
        <w:t xml:space="preserve">and discussed </w:t>
      </w:r>
      <w:r w:rsidR="008C5F92">
        <w:rPr>
          <w:szCs w:val="20"/>
        </w:rPr>
        <w:t>co-regulation issues</w:t>
      </w:r>
      <w:r>
        <w:rPr>
          <w:szCs w:val="20"/>
        </w:rPr>
        <w:t>.</w:t>
      </w:r>
    </w:p>
    <w:p w:rsidR="00A63991" w:rsidRPr="00082158" w:rsidRDefault="00A63991" w:rsidP="00A63991">
      <w:pPr>
        <w:autoSpaceDE w:val="0"/>
        <w:autoSpaceDN w:val="0"/>
        <w:adjustRightInd w:val="0"/>
        <w:spacing w:before="0" w:after="0"/>
        <w:rPr>
          <w:color w:val="008EC4"/>
          <w:szCs w:val="20"/>
        </w:rPr>
      </w:pPr>
      <w:bookmarkStart w:id="0" w:name="natschemereview"/>
      <w:bookmarkEnd w:id="0"/>
      <w:r w:rsidRPr="00082158">
        <w:rPr>
          <w:b/>
          <w:bCs/>
          <w:color w:val="008EC4"/>
          <w:szCs w:val="20"/>
        </w:rPr>
        <w:t xml:space="preserve">Budget and health profession agreement </w:t>
      </w:r>
    </w:p>
    <w:p w:rsidR="00A63991" w:rsidRDefault="00A63991" w:rsidP="00A63991">
      <w:pPr>
        <w:autoSpaceDE w:val="0"/>
        <w:autoSpaceDN w:val="0"/>
        <w:adjustRightInd w:val="0"/>
        <w:spacing w:before="0" w:after="0"/>
        <w:rPr>
          <w:color w:val="000000"/>
          <w:szCs w:val="20"/>
        </w:rPr>
      </w:pPr>
    </w:p>
    <w:p w:rsidR="00A63991" w:rsidRPr="00082158" w:rsidRDefault="00A63991" w:rsidP="00A63991">
      <w:pPr>
        <w:autoSpaceDE w:val="0"/>
        <w:autoSpaceDN w:val="0"/>
        <w:adjustRightInd w:val="0"/>
        <w:spacing w:before="0" w:after="0"/>
        <w:rPr>
          <w:color w:val="000000"/>
          <w:szCs w:val="20"/>
        </w:rPr>
      </w:pPr>
      <w:r w:rsidRPr="00082158">
        <w:rPr>
          <w:color w:val="000000"/>
          <w:szCs w:val="20"/>
        </w:rPr>
        <w:t xml:space="preserve">Under the National Law, the National Boards and AHPRA work in partnership to implement the National Registration and Accreditation Scheme (the National Scheme), each with specific roles and responsibilities. The guiding principles of the National Law require the National Scheme to operate in a ‘transparent, accountable, efficient, effective and fair way’. </w:t>
      </w:r>
    </w:p>
    <w:p w:rsidR="00A63991" w:rsidRDefault="00A63991" w:rsidP="00A63991">
      <w:pPr>
        <w:autoSpaceDE w:val="0"/>
        <w:autoSpaceDN w:val="0"/>
        <w:adjustRightInd w:val="0"/>
        <w:spacing w:before="0" w:after="0"/>
        <w:rPr>
          <w:color w:val="000000"/>
          <w:szCs w:val="20"/>
        </w:rPr>
      </w:pPr>
    </w:p>
    <w:p w:rsidR="00A63991" w:rsidRPr="00082158" w:rsidRDefault="00A63991" w:rsidP="00A63991">
      <w:pPr>
        <w:autoSpaceDE w:val="0"/>
        <w:autoSpaceDN w:val="0"/>
        <w:adjustRightInd w:val="0"/>
        <w:spacing w:before="0" w:after="0"/>
        <w:rPr>
          <w:color w:val="000000"/>
          <w:szCs w:val="20"/>
        </w:rPr>
      </w:pPr>
      <w:r w:rsidRPr="00082158">
        <w:rPr>
          <w:color w:val="000000"/>
          <w:szCs w:val="20"/>
        </w:rPr>
        <w:t xml:space="preserve">Every year each of the National Boards and AHPRA publish a health profession agreement that details the fees payable by health practitioners, the annual budget of the National Board and the services provided by AHPRA that enable the National Boards to carry out their functions under the National Law. </w:t>
      </w:r>
    </w:p>
    <w:p w:rsidR="00A63991" w:rsidRDefault="00A63991" w:rsidP="00A63991">
      <w:pPr>
        <w:pStyle w:val="AHPRASubheadinglevel2"/>
      </w:pPr>
      <w:r w:rsidRPr="00082158">
        <w:rPr>
          <w:rFonts w:eastAsia="Cambria" w:cs="Arial"/>
          <w:b w:val="0"/>
          <w:bCs w:val="0"/>
          <w:color w:val="000000"/>
          <w:kern w:val="0"/>
          <w:szCs w:val="20"/>
        </w:rPr>
        <w:t xml:space="preserve">In order to inform its review of the health profession agreement the Board reviewed and signed off on its 2015/16 budget and work plan. These documents will be published on the Board’s website soon. The Board was then able to review and agree to the health profession agreement for the 2015/16 financial year. The 2015/16 health profession agreement will be published on the </w:t>
      </w:r>
      <w:hyperlink r:id="rId8" w:history="1">
        <w:r w:rsidRPr="006E19CD">
          <w:rPr>
            <w:rStyle w:val="Hyperlink"/>
          </w:rPr>
          <w:t>AHPRA website</w:t>
        </w:r>
      </w:hyperlink>
      <w:r w:rsidRPr="006E19CD">
        <w:rPr>
          <w:rFonts w:eastAsia="Cambria" w:cs="Arial"/>
          <w:b w:val="0"/>
          <w:bCs w:val="0"/>
          <w:color w:val="000000"/>
          <w:kern w:val="0"/>
          <w:szCs w:val="20"/>
        </w:rPr>
        <w:t xml:space="preserve"> </w:t>
      </w:r>
      <w:r w:rsidRPr="00082158">
        <w:rPr>
          <w:rFonts w:eastAsia="Cambria" w:cs="Arial"/>
          <w:b w:val="0"/>
          <w:bCs w:val="0"/>
          <w:color w:val="000000"/>
          <w:kern w:val="0"/>
          <w:szCs w:val="20"/>
        </w:rPr>
        <w:t xml:space="preserve">under </w:t>
      </w:r>
      <w:r w:rsidRPr="00082158">
        <w:rPr>
          <w:rFonts w:eastAsia="Cambria" w:cs="Arial"/>
          <w:b w:val="0"/>
          <w:bCs w:val="0"/>
          <w:i/>
          <w:iCs/>
          <w:color w:val="000000"/>
          <w:kern w:val="0"/>
          <w:szCs w:val="20"/>
        </w:rPr>
        <w:t xml:space="preserve">Publications </w:t>
      </w:r>
      <w:r w:rsidRPr="00082158">
        <w:rPr>
          <w:rFonts w:eastAsia="Cambria" w:cs="Arial"/>
          <w:b w:val="0"/>
          <w:bCs w:val="0"/>
          <w:color w:val="000000"/>
          <w:kern w:val="0"/>
          <w:szCs w:val="20"/>
        </w:rPr>
        <w:t>in the near future.</w:t>
      </w:r>
    </w:p>
    <w:p w:rsidR="008C5F92" w:rsidRDefault="008C5F92" w:rsidP="008C5F92">
      <w:pPr>
        <w:pStyle w:val="AHPRASubheading"/>
        <w:tabs>
          <w:tab w:val="left" w:pos="5108"/>
        </w:tabs>
        <w:spacing w:before="240"/>
      </w:pPr>
      <w:r>
        <w:t xml:space="preserve">Health Ministers announce Board appointments </w:t>
      </w:r>
    </w:p>
    <w:p w:rsidR="008C5F92" w:rsidRDefault="008C5F92" w:rsidP="008C5F92">
      <w:pPr>
        <w:pStyle w:val="AHPRASubheading"/>
        <w:rPr>
          <w:rFonts w:cs="Arial"/>
          <w:b w:val="0"/>
          <w:color w:val="000000" w:themeColor="text1"/>
          <w:szCs w:val="20"/>
        </w:rPr>
      </w:pPr>
      <w:r>
        <w:rPr>
          <w:rFonts w:cs="Arial"/>
          <w:b w:val="0"/>
          <w:color w:val="000000" w:themeColor="text1"/>
          <w:szCs w:val="20"/>
        </w:rPr>
        <w:t xml:space="preserve">On </w:t>
      </w:r>
      <w:r w:rsidR="00416F51">
        <w:rPr>
          <w:rFonts w:cs="Arial"/>
          <w:b w:val="0"/>
          <w:color w:val="000000" w:themeColor="text1"/>
          <w:szCs w:val="20"/>
        </w:rPr>
        <w:t>6 July 2015</w:t>
      </w:r>
      <w:r>
        <w:rPr>
          <w:rFonts w:cs="Arial"/>
          <w:b w:val="0"/>
          <w:color w:val="000000" w:themeColor="text1"/>
          <w:szCs w:val="20"/>
        </w:rPr>
        <w:t>, the</w:t>
      </w:r>
      <w:r w:rsidRPr="00F1194C">
        <w:rPr>
          <w:rFonts w:cs="Arial"/>
          <w:b w:val="0"/>
          <w:color w:val="000000" w:themeColor="text1"/>
          <w:szCs w:val="20"/>
        </w:rPr>
        <w:t xml:space="preserve"> Australian Health Workforce Ministerial Council (the Ministerial Council) announced </w:t>
      </w:r>
      <w:r>
        <w:rPr>
          <w:rFonts w:cs="Arial"/>
          <w:b w:val="0"/>
          <w:color w:val="000000" w:themeColor="text1"/>
          <w:szCs w:val="20"/>
        </w:rPr>
        <w:t xml:space="preserve">the </w:t>
      </w:r>
      <w:r w:rsidR="00416F51">
        <w:rPr>
          <w:rFonts w:cs="Arial"/>
          <w:b w:val="0"/>
          <w:color w:val="000000" w:themeColor="text1"/>
          <w:szCs w:val="20"/>
        </w:rPr>
        <w:t>re-</w:t>
      </w:r>
      <w:r>
        <w:rPr>
          <w:rFonts w:cs="Arial"/>
          <w:b w:val="0"/>
          <w:color w:val="000000" w:themeColor="text1"/>
          <w:szCs w:val="20"/>
        </w:rPr>
        <w:t xml:space="preserve">appointment of </w:t>
      </w:r>
      <w:r w:rsidR="00416F51">
        <w:rPr>
          <w:rFonts w:cs="Arial"/>
          <w:b w:val="0"/>
          <w:color w:val="000000" w:themeColor="text1"/>
          <w:szCs w:val="20"/>
        </w:rPr>
        <w:t>three</w:t>
      </w:r>
      <w:r w:rsidRPr="00F1194C">
        <w:rPr>
          <w:rFonts w:cs="Arial"/>
          <w:b w:val="0"/>
          <w:color w:val="000000" w:themeColor="text1"/>
          <w:szCs w:val="20"/>
        </w:rPr>
        <w:t xml:space="preserve"> </w:t>
      </w:r>
      <w:r>
        <w:rPr>
          <w:rFonts w:cs="Arial"/>
          <w:b w:val="0"/>
          <w:color w:val="000000" w:themeColor="text1"/>
          <w:szCs w:val="20"/>
        </w:rPr>
        <w:t>practitioner</w:t>
      </w:r>
      <w:r w:rsidR="00416F51">
        <w:rPr>
          <w:rFonts w:cs="Arial"/>
          <w:b w:val="0"/>
          <w:color w:val="000000" w:themeColor="text1"/>
          <w:szCs w:val="20"/>
        </w:rPr>
        <w:t xml:space="preserve"> and three community</w:t>
      </w:r>
      <w:r>
        <w:rPr>
          <w:rFonts w:cs="Arial"/>
          <w:b w:val="0"/>
          <w:color w:val="000000" w:themeColor="text1"/>
          <w:szCs w:val="20"/>
        </w:rPr>
        <w:t xml:space="preserve"> </w:t>
      </w:r>
      <w:r w:rsidRPr="00F1194C">
        <w:rPr>
          <w:rFonts w:cs="Arial"/>
          <w:b w:val="0"/>
          <w:color w:val="000000" w:themeColor="text1"/>
          <w:szCs w:val="20"/>
        </w:rPr>
        <w:t xml:space="preserve">members </w:t>
      </w:r>
      <w:r>
        <w:rPr>
          <w:rFonts w:cs="Arial"/>
          <w:b w:val="0"/>
          <w:color w:val="000000" w:themeColor="text1"/>
          <w:szCs w:val="20"/>
        </w:rPr>
        <w:t>of</w:t>
      </w:r>
      <w:r w:rsidRPr="00F1194C">
        <w:rPr>
          <w:rFonts w:cs="Arial"/>
          <w:b w:val="0"/>
          <w:color w:val="000000" w:themeColor="text1"/>
          <w:szCs w:val="20"/>
        </w:rPr>
        <w:t xml:space="preserve"> the Osteopathy Board</w:t>
      </w:r>
      <w:r>
        <w:rPr>
          <w:rFonts w:cs="Arial"/>
          <w:b w:val="0"/>
          <w:color w:val="000000" w:themeColor="text1"/>
          <w:szCs w:val="20"/>
        </w:rPr>
        <w:t>:</w:t>
      </w:r>
      <w:r w:rsidR="00416F51">
        <w:rPr>
          <w:rFonts w:cs="Arial"/>
          <w:b w:val="0"/>
          <w:color w:val="000000" w:themeColor="text1"/>
          <w:szCs w:val="20"/>
        </w:rPr>
        <w:t xml:space="preserve"> Dr Nikole Grbin, Dr Natalie Rutsche, Adjunct Assoc Prof Philip Tehan, Ms Liza Newby, Mr Robert McGregor AM and Ms Judith Dikstein</w:t>
      </w:r>
      <w:r w:rsidR="00A96861">
        <w:rPr>
          <w:rFonts w:cs="Arial"/>
          <w:b w:val="0"/>
          <w:color w:val="000000" w:themeColor="text1"/>
          <w:szCs w:val="20"/>
        </w:rPr>
        <w:t>.</w:t>
      </w:r>
    </w:p>
    <w:p w:rsidR="008C5F92" w:rsidRPr="008C5F92" w:rsidRDefault="00FF785D" w:rsidP="008C5F92">
      <w:pPr>
        <w:pStyle w:val="AHPRASubheading"/>
        <w:rPr>
          <w:rFonts w:cs="Arial"/>
          <w:b w:val="0"/>
          <w:color w:val="000000" w:themeColor="text1"/>
          <w:szCs w:val="20"/>
        </w:rPr>
      </w:pPr>
      <w:r>
        <w:rPr>
          <w:rFonts w:cs="Arial"/>
          <w:b w:val="0"/>
          <w:color w:val="0D0D0D" w:themeColor="text1" w:themeTint="F2"/>
          <w:szCs w:val="20"/>
          <w:lang w:val="en-US"/>
        </w:rPr>
        <w:t>Read the</w:t>
      </w:r>
      <w:r w:rsidR="00A96861" w:rsidRPr="008C5F92">
        <w:rPr>
          <w:rFonts w:cs="Arial"/>
          <w:b w:val="0"/>
          <w:color w:val="0D0D0D" w:themeColor="text1" w:themeTint="F2"/>
          <w:szCs w:val="20"/>
          <w:lang w:val="en-US"/>
        </w:rPr>
        <w:t xml:space="preserve"> </w:t>
      </w:r>
      <w:hyperlink r:id="rId9" w:history="1">
        <w:r w:rsidR="008C5F92" w:rsidRPr="00FF785D">
          <w:rPr>
            <w:rStyle w:val="Hyperlink"/>
            <w:rFonts w:cs="Arial"/>
            <w:b w:val="0"/>
            <w:szCs w:val="20"/>
            <w:lang w:val="en-US"/>
          </w:rPr>
          <w:t>AHPRA media release</w:t>
        </w:r>
      </w:hyperlink>
      <w:r w:rsidR="008C5F92" w:rsidRPr="008C5F92">
        <w:rPr>
          <w:rFonts w:cs="Arial"/>
          <w:b w:val="0"/>
          <w:color w:val="0D0D0D" w:themeColor="text1" w:themeTint="F2"/>
          <w:szCs w:val="20"/>
          <w:lang w:val="en-US"/>
        </w:rPr>
        <w:t xml:space="preserve"> welcoming the Ministers’ announcement of these appointments</w:t>
      </w:r>
      <w:r>
        <w:rPr>
          <w:rFonts w:cs="Arial"/>
          <w:b w:val="0"/>
          <w:color w:val="0D0D0D" w:themeColor="text1" w:themeTint="F2"/>
          <w:szCs w:val="20"/>
          <w:lang w:val="en-US"/>
        </w:rPr>
        <w:t>.</w:t>
      </w:r>
    </w:p>
    <w:p w:rsidR="00082158" w:rsidRPr="00082158" w:rsidRDefault="00082158" w:rsidP="00082158">
      <w:pPr>
        <w:autoSpaceDE w:val="0"/>
        <w:autoSpaceDN w:val="0"/>
        <w:adjustRightInd w:val="0"/>
        <w:spacing w:before="0" w:after="0"/>
        <w:rPr>
          <w:b/>
          <w:bCs/>
          <w:color w:val="008EC4"/>
          <w:szCs w:val="20"/>
        </w:rPr>
      </w:pPr>
      <w:r w:rsidRPr="00082158">
        <w:rPr>
          <w:b/>
          <w:bCs/>
          <w:color w:val="008EC4"/>
          <w:szCs w:val="20"/>
        </w:rPr>
        <w:t>National Scheme News</w:t>
      </w:r>
    </w:p>
    <w:p w:rsidR="005056B4" w:rsidRDefault="005056B4" w:rsidP="005056B4">
      <w:pPr>
        <w:pStyle w:val="AHPRASubheadinglevel2"/>
      </w:pPr>
      <w:r>
        <w:t>Health ministers to consider National Scheme review report in August</w:t>
      </w:r>
    </w:p>
    <w:p w:rsidR="005056B4" w:rsidRDefault="005056B4" w:rsidP="005056B4">
      <w:pPr>
        <w:pStyle w:val="AHPRABody0"/>
      </w:pPr>
      <w:r>
        <w:t xml:space="preserve">Federal and state and territory health ministers will respond to the report of the review of the National Scheme in August this year. </w:t>
      </w:r>
    </w:p>
    <w:p w:rsidR="005056B4" w:rsidRDefault="005056B4" w:rsidP="005056B4">
      <w:pPr>
        <w:pStyle w:val="AHPRABody0"/>
      </w:pPr>
    </w:p>
    <w:p w:rsidR="005056B4" w:rsidRDefault="005056B4" w:rsidP="005056B4">
      <w:pPr>
        <w:pStyle w:val="AHPRABody0"/>
      </w:pPr>
      <w:r>
        <w:t>Ministers met in mid-April at the COAG Health Council to discuss a range of national health issues, including the final report of the National Registration and Accreditation Scheme Review. The independent review was conducted by Kim Snowball, the former Director General of Health in Western Australia. It involved an extensive consultation process that included more than 230 written submissions and more than 1,000 individuals participating in consultation forums in each capital city.</w:t>
      </w:r>
    </w:p>
    <w:p w:rsidR="005056B4" w:rsidRDefault="005056B4" w:rsidP="005056B4">
      <w:pPr>
        <w:pStyle w:val="AHPRABody0"/>
      </w:pPr>
    </w:p>
    <w:p w:rsidR="005056B4" w:rsidRDefault="005056B4" w:rsidP="005056B4">
      <w:pPr>
        <w:pStyle w:val="AHPRABody0"/>
      </w:pPr>
      <w:r>
        <w:t xml:space="preserve">The review aimed to identify what was working well in the National Scheme and opportunities to improve and strengthen the work of AHPRA and the National Boards to protect the public and facilitate access to health services. According to the report of the meeting, health ministers will consider the recommendations from the review and discuss them further at their meeting in August 2015. </w:t>
      </w:r>
    </w:p>
    <w:p w:rsidR="005056B4" w:rsidRDefault="005056B4" w:rsidP="005056B4">
      <w:pPr>
        <w:pStyle w:val="AHPRABody0"/>
      </w:pPr>
    </w:p>
    <w:p w:rsidR="005056B4" w:rsidRDefault="005056B4" w:rsidP="006E19CD">
      <w:pPr>
        <w:pStyle w:val="AHPRABody0"/>
        <w:spacing w:after="200"/>
      </w:pPr>
      <w:r>
        <w:t xml:space="preserve">The </w:t>
      </w:r>
      <w:r>
        <w:rPr>
          <w:i/>
          <w:iCs/>
        </w:rPr>
        <w:t>COAG Health Council communiqué</w:t>
      </w:r>
      <w:r>
        <w:t xml:space="preserve"> is available on the </w:t>
      </w:r>
      <w:hyperlink r:id="rId10" w:tgtFrame="_blank" w:history="1">
        <w:r>
          <w:rPr>
            <w:rStyle w:val="Hyperlink"/>
            <w:rFonts w:eastAsiaTheme="majorEastAsia"/>
          </w:rPr>
          <w:t>COAG Health Council website</w:t>
        </w:r>
      </w:hyperlink>
      <w:r>
        <w:t xml:space="preserve">. </w:t>
      </w:r>
    </w:p>
    <w:p w:rsidR="004C63AF" w:rsidRPr="001D6D83" w:rsidRDefault="004C63AF" w:rsidP="004C63AF">
      <w:pPr>
        <w:pStyle w:val="AHPRASubhead"/>
      </w:pPr>
      <w:r w:rsidRPr="001D6D83">
        <w:t xml:space="preserve">Follow @AHPRA on Twitter </w:t>
      </w:r>
    </w:p>
    <w:p w:rsidR="004C63AF" w:rsidRPr="001D6D83" w:rsidRDefault="004C63AF" w:rsidP="004C63AF">
      <w:pPr>
        <w:pStyle w:val="AHPRAbody"/>
      </w:pPr>
      <w:r>
        <w:t xml:space="preserve">AHPRA uses </w:t>
      </w:r>
      <w:hyperlink r:id="rId11" w:history="1">
        <w:r w:rsidRPr="00B47BC0">
          <w:rPr>
            <w:rStyle w:val="Hyperlink"/>
          </w:rPr>
          <w:t>Twitter</w:t>
        </w:r>
      </w:hyperlink>
      <w:r w:rsidRPr="001D6D83">
        <w:t xml:space="preserve"> to </w:t>
      </w:r>
      <w:r>
        <w:t xml:space="preserve">encourage greater discussion about </w:t>
      </w:r>
      <w:r w:rsidRPr="001D6D83">
        <w:t>National Board consultations</w:t>
      </w:r>
      <w:r>
        <w:t xml:space="preserve"> and to host regular</w:t>
      </w:r>
      <w:r w:rsidRPr="001D6D83">
        <w:t xml:space="preserve"> </w:t>
      </w:r>
      <w:r>
        <w:t xml:space="preserve">Twitter </w:t>
      </w:r>
      <w:r w:rsidRPr="001D6D83">
        <w:t xml:space="preserve">chats </w:t>
      </w:r>
      <w:r>
        <w:t>on</w:t>
      </w:r>
      <w:r w:rsidRPr="001D6D83">
        <w:t xml:space="preserve"> important topics</w:t>
      </w:r>
      <w:r>
        <w:t>.</w:t>
      </w:r>
      <w:r w:rsidRPr="001D6D83">
        <w:t xml:space="preserve"> </w:t>
      </w:r>
    </w:p>
    <w:p w:rsidR="00984E15" w:rsidRPr="00984E15" w:rsidRDefault="00984E15" w:rsidP="00984E15">
      <w:pPr>
        <w:pStyle w:val="AHPRASubhead"/>
      </w:pPr>
      <w:r w:rsidRPr="00984E15">
        <w:t>Keeping in touch with the Board</w:t>
      </w:r>
    </w:p>
    <w:p w:rsidR="00984E15" w:rsidRDefault="00984E15" w:rsidP="00984E15">
      <w:pPr>
        <w:pStyle w:val="AHPRAbody"/>
      </w:pPr>
      <w:r>
        <w:t xml:space="preserve">The Board publishes a range of information about registration and the Board’s expectations of practitioners on its website at </w:t>
      </w:r>
      <w:hyperlink r:id="rId12" w:history="1">
        <w:r w:rsidRPr="00660816">
          <w:rPr>
            <w:rStyle w:val="Hyperlink"/>
            <w:rFonts w:cs="Arial"/>
            <w:szCs w:val="20"/>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ED2159" w:rsidRDefault="00ED2159" w:rsidP="00984E15">
      <w:pPr>
        <w:rPr>
          <w:szCs w:val="20"/>
          <w:lang w:val="en-US"/>
        </w:rPr>
      </w:pPr>
    </w:p>
    <w:p w:rsidR="004C63AF" w:rsidRDefault="00984E15">
      <w:pPr>
        <w:spacing w:after="0"/>
        <w:rPr>
          <w:szCs w:val="20"/>
          <w:lang w:val="en-US"/>
        </w:rPr>
      </w:pPr>
      <w:r w:rsidRPr="00AE3701">
        <w:rPr>
          <w:szCs w:val="20"/>
          <w:lang w:val="en-US"/>
        </w:rPr>
        <w:t xml:space="preserve">Dr </w:t>
      </w:r>
      <w:r>
        <w:rPr>
          <w:szCs w:val="20"/>
          <w:lang w:val="en-US"/>
        </w:rPr>
        <w:t>Nikole Grbin (Osteopath)</w:t>
      </w:r>
    </w:p>
    <w:p w:rsidR="003B5E14" w:rsidRDefault="00984E15">
      <w:pPr>
        <w:spacing w:after="0"/>
        <w:rPr>
          <w:color w:val="0070C0"/>
          <w:szCs w:val="20"/>
          <w:lang w:val="en-US"/>
        </w:rPr>
      </w:pPr>
      <w:r w:rsidRPr="007D493A">
        <w:rPr>
          <w:color w:val="0070C0"/>
          <w:szCs w:val="20"/>
          <w:lang w:val="en-US"/>
        </w:rPr>
        <w:t>Chair</w:t>
      </w:r>
    </w:p>
    <w:p w:rsidR="00984E15" w:rsidRPr="00984E15" w:rsidRDefault="002169EA" w:rsidP="00984E15">
      <w:r>
        <w:rPr>
          <w:color w:val="0070C0"/>
          <w:szCs w:val="20"/>
          <w:lang w:val="en-US"/>
        </w:rPr>
        <w:t>Osteopathy Board of Australia</w:t>
      </w:r>
      <w:r w:rsidR="00984E15">
        <w:rPr>
          <w:color w:val="0070C0"/>
          <w:szCs w:val="20"/>
          <w:lang w:val="en-US"/>
        </w:rPr>
        <w:br/>
      </w:r>
      <w:r w:rsidR="00416F51">
        <w:rPr>
          <w:szCs w:val="20"/>
          <w:lang w:val="en-US"/>
        </w:rPr>
        <w:t>9</w:t>
      </w:r>
      <w:r w:rsidR="004C63AF">
        <w:rPr>
          <w:szCs w:val="20"/>
          <w:lang w:val="en-US"/>
        </w:rPr>
        <w:t xml:space="preserve"> </w:t>
      </w:r>
      <w:r w:rsidR="005056B4">
        <w:rPr>
          <w:szCs w:val="20"/>
          <w:lang w:val="en-US"/>
        </w:rPr>
        <w:t>July</w:t>
      </w:r>
      <w:r w:rsidR="00984E15">
        <w:rPr>
          <w:szCs w:val="20"/>
        </w:rPr>
        <w:t xml:space="preserve"> 2015</w:t>
      </w:r>
    </w:p>
    <w:sectPr w:rsidR="00984E15" w:rsidRPr="00984E15" w:rsidSect="004B438E">
      <w:headerReference w:type="even" r:id="rId13"/>
      <w:headerReference w:type="default" r:id="rId14"/>
      <w:footerReference w:type="even" r:id="rId15"/>
      <w:footerReference w:type="default" r:id="rId16"/>
      <w:headerReference w:type="first" r:id="rId17"/>
      <w:footerReference w:type="first" r:id="rId18"/>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5B4" w:rsidRDefault="002A45B4" w:rsidP="008A56B3">
      <w:r>
        <w:separator/>
      </w:r>
    </w:p>
    <w:p w:rsidR="002A45B4" w:rsidRDefault="002A45B4" w:rsidP="008A56B3"/>
  </w:endnote>
  <w:endnote w:type="continuationSeparator" w:id="0">
    <w:p w:rsidR="002A45B4" w:rsidRDefault="002A45B4" w:rsidP="008A56B3">
      <w:r>
        <w:continuationSeparator/>
      </w:r>
    </w:p>
    <w:p w:rsidR="002A45B4" w:rsidRDefault="002A45B4"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D" w:rsidRDefault="00C90915" w:rsidP="008A56B3">
    <w:pPr>
      <w:pStyle w:val="AHPRAfootnote"/>
    </w:pPr>
    <w:r>
      <w:fldChar w:fldCharType="begin"/>
    </w:r>
    <w:r w:rsidR="004671AD">
      <w:instrText xml:space="preserve">PAGE  </w:instrText>
    </w:r>
    <w:r>
      <w:fldChar w:fldCharType="end"/>
    </w:r>
  </w:p>
  <w:p w:rsidR="004671AD" w:rsidRDefault="004671AD" w:rsidP="008A56B3">
    <w:pPr>
      <w:pStyle w:val="AHPRAfootnote"/>
    </w:pPr>
  </w:p>
  <w:p w:rsidR="004671AD" w:rsidRDefault="004671AD"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D" w:rsidRPr="000E7E28" w:rsidRDefault="00666B15" w:rsidP="007840D7">
    <w:pPr>
      <w:pStyle w:val="AHPRApagenumber"/>
      <w:tabs>
        <w:tab w:val="center" w:pos="4536"/>
        <w:tab w:val="right" w:pos="9356"/>
      </w:tabs>
      <w:ind w:right="-233"/>
      <w:jc w:val="left"/>
    </w:pPr>
    <w:r>
      <w:fldChar w:fldCharType="begin"/>
    </w:r>
    <w:r>
      <w:instrText xml:space="preserve"> STYLEREF "AHPRA Document title" \* MERGEFORMAT </w:instrText>
    </w:r>
    <w:r>
      <w:fldChar w:fldCharType="separate"/>
    </w:r>
    <w:r>
      <w:rPr>
        <w:noProof/>
      </w:rPr>
      <w:t>Communiqué</w:t>
    </w:r>
    <w:r>
      <w:rPr>
        <w:noProof/>
      </w:rPr>
      <w:fldChar w:fldCharType="end"/>
    </w:r>
    <w:r w:rsidR="004671AD">
      <w:t xml:space="preserve"> / </w:t>
    </w:r>
    <w:r w:rsidR="00C90915">
      <w:fldChar w:fldCharType="begin"/>
    </w:r>
    <w:r w:rsidR="00B50797">
      <w:instrText xml:space="preserve"> DATE \@ "d MMMM y" \* MERGEFORMAT </w:instrText>
    </w:r>
    <w:r w:rsidR="00C90915">
      <w:fldChar w:fldCharType="separate"/>
    </w:r>
    <w:r>
      <w:rPr>
        <w:noProof/>
      </w:rPr>
      <w:t>10 July 15</w:t>
    </w:r>
    <w:r w:rsidR="00C90915">
      <w:rPr>
        <w:noProof/>
      </w:rPr>
      <w:fldChar w:fldCharType="end"/>
    </w:r>
    <w:sdt>
      <w:sdtPr>
        <w:id w:val="16333165"/>
        <w:docPartObj>
          <w:docPartGallery w:val="Page Numbers (Top of Page)"/>
          <w:docPartUnique/>
        </w:docPartObj>
      </w:sdtPr>
      <w:sdtEndPr/>
      <w:sdtContent>
        <w:r w:rsidR="004671AD">
          <w:tab/>
        </w:r>
        <w:r w:rsidR="004671AD">
          <w:tab/>
        </w:r>
        <w:r w:rsidR="004671AD" w:rsidRPr="000E7E28">
          <w:t xml:space="preserve">Page </w:t>
        </w:r>
        <w:r w:rsidR="00C90915">
          <w:fldChar w:fldCharType="begin"/>
        </w:r>
        <w:r w:rsidR="00B50797">
          <w:instrText xml:space="preserve"> PAGE </w:instrText>
        </w:r>
        <w:r w:rsidR="00C90915">
          <w:fldChar w:fldCharType="separate"/>
        </w:r>
        <w:r>
          <w:rPr>
            <w:noProof/>
          </w:rPr>
          <w:t>2</w:t>
        </w:r>
        <w:r w:rsidR="00C90915">
          <w:rPr>
            <w:noProof/>
          </w:rPr>
          <w:fldChar w:fldCharType="end"/>
        </w:r>
        <w:r w:rsidR="004671AD" w:rsidRPr="000E7E28">
          <w:t xml:space="preserve"> of </w:t>
        </w:r>
        <w:r w:rsidR="00C90915">
          <w:fldChar w:fldCharType="begin"/>
        </w:r>
        <w:r w:rsidR="00B50797">
          <w:instrText xml:space="preserve"> NUMPAGES  </w:instrText>
        </w:r>
        <w:r w:rsidR="00C90915">
          <w:fldChar w:fldCharType="separate"/>
        </w:r>
        <w:r>
          <w:rPr>
            <w:noProof/>
          </w:rPr>
          <w:t>2</w:t>
        </w:r>
        <w:r w:rsidR="00C90915">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15" w:rsidRDefault="00666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5B4" w:rsidRDefault="002A45B4" w:rsidP="008A56B3">
      <w:r>
        <w:separator/>
      </w:r>
    </w:p>
  </w:footnote>
  <w:footnote w:type="continuationSeparator" w:id="0">
    <w:p w:rsidR="002A45B4" w:rsidRDefault="002A45B4" w:rsidP="008A56B3">
      <w:r>
        <w:continuationSeparator/>
      </w:r>
    </w:p>
    <w:p w:rsidR="002A45B4" w:rsidRDefault="002A45B4" w:rsidP="008A56B3"/>
  </w:footnote>
  <w:footnote w:type="continuationNotice" w:id="1">
    <w:p w:rsidR="002A45B4" w:rsidRDefault="002A45B4"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15" w:rsidRDefault="00666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D" w:rsidRPr="00315933" w:rsidRDefault="004671AD" w:rsidP="008A56B3"/>
  <w:p w:rsidR="004671AD" w:rsidRDefault="004671AD" w:rsidP="008A56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D" w:rsidRDefault="004671AD" w:rsidP="008A56B3">
    <w:bookmarkStart w:id="1" w:name="_GoBack"/>
    <w:r>
      <w:rPr>
        <w:noProof/>
        <w:szCs w:val="20"/>
        <w:lang w:eastAsia="en-AU"/>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0" b="8255"/>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bookmarkEnd w:id="1"/>
  </w:p>
  <w:p w:rsidR="004671AD" w:rsidRDefault="004671AD" w:rsidP="008A56B3"/>
  <w:p w:rsidR="004671AD" w:rsidRDefault="004671AD" w:rsidP="008A56B3"/>
  <w:p w:rsidR="004671AD" w:rsidRDefault="004671AD" w:rsidP="008A56B3"/>
  <w:p w:rsidR="004671AD" w:rsidRDefault="004671AD" w:rsidP="008A56B3"/>
  <w:p w:rsidR="004671AD" w:rsidRDefault="004671AD"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89C"/>
    <w:multiLevelType w:val="hybridMultilevel"/>
    <w:tmpl w:val="56B4A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80D"/>
    <w:multiLevelType w:val="hybridMultilevel"/>
    <w:tmpl w:val="13A4F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62734"/>
    <w:multiLevelType w:val="hybridMultilevel"/>
    <w:tmpl w:val="810AF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B17D6"/>
    <w:multiLevelType w:val="multilevel"/>
    <w:tmpl w:val="C4183F12"/>
    <w:numStyleLink w:val="AHPRANumberedlist"/>
  </w:abstractNum>
  <w:abstractNum w:abstractNumId="5"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6"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0D193D64"/>
    <w:multiLevelType w:val="hybridMultilevel"/>
    <w:tmpl w:val="A888F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D3EC6"/>
    <w:multiLevelType w:val="hybridMultilevel"/>
    <w:tmpl w:val="CC7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D42B8"/>
    <w:multiLevelType w:val="hybridMultilevel"/>
    <w:tmpl w:val="BCA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D19FF"/>
    <w:multiLevelType w:val="multilevel"/>
    <w:tmpl w:val="BE20683A"/>
    <w:numStyleLink w:val="AHPRANumberedheadinglist"/>
  </w:abstractNum>
  <w:abstractNum w:abstractNumId="12" w15:restartNumberingAfterBreak="0">
    <w:nsid w:val="15714E62"/>
    <w:multiLevelType w:val="hybridMultilevel"/>
    <w:tmpl w:val="B0B0F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D84F9D"/>
    <w:multiLevelType w:val="hybridMultilevel"/>
    <w:tmpl w:val="EDA21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73E2C"/>
    <w:multiLevelType w:val="hybridMultilevel"/>
    <w:tmpl w:val="DBD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E53EC"/>
    <w:multiLevelType w:val="hybridMultilevel"/>
    <w:tmpl w:val="F7D0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416A0"/>
    <w:multiLevelType w:val="hybridMultilevel"/>
    <w:tmpl w:val="6652B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3D5E99"/>
    <w:multiLevelType w:val="hybridMultilevel"/>
    <w:tmpl w:val="C5B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54A25"/>
    <w:multiLevelType w:val="hybridMultilevel"/>
    <w:tmpl w:val="795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2578D"/>
    <w:multiLevelType w:val="multilevel"/>
    <w:tmpl w:val="BE20683A"/>
    <w:numStyleLink w:val="AHPRANumberedheadinglist"/>
  </w:abstractNum>
  <w:abstractNum w:abstractNumId="20" w15:restartNumberingAfterBreak="0">
    <w:nsid w:val="286A1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1F4DC4"/>
    <w:multiLevelType w:val="hybridMultilevel"/>
    <w:tmpl w:val="3B1E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A74E5"/>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B585523"/>
    <w:multiLevelType w:val="hybridMultilevel"/>
    <w:tmpl w:val="E292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B3714"/>
    <w:multiLevelType w:val="multilevel"/>
    <w:tmpl w:val="C4183F12"/>
    <w:numStyleLink w:val="AHPRANumberedlist"/>
  </w:abstractNum>
  <w:abstractNum w:abstractNumId="26" w15:restartNumberingAfterBreak="0">
    <w:nsid w:val="3E963C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24143C"/>
    <w:multiLevelType w:val="hybridMultilevel"/>
    <w:tmpl w:val="CCDA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9252EB"/>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7A3ABE"/>
    <w:multiLevelType w:val="hybridMultilevel"/>
    <w:tmpl w:val="B304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37982"/>
    <w:multiLevelType w:val="hybridMultilevel"/>
    <w:tmpl w:val="75FC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04433A"/>
    <w:multiLevelType w:val="multilevel"/>
    <w:tmpl w:val="C4183F12"/>
    <w:numStyleLink w:val="AHPRANumberedlist"/>
  </w:abstractNum>
  <w:abstractNum w:abstractNumId="33" w15:restartNumberingAfterBreak="0">
    <w:nsid w:val="518E0391"/>
    <w:multiLevelType w:val="hybridMultilevel"/>
    <w:tmpl w:val="F92A7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0840D8"/>
    <w:multiLevelType w:val="hybridMultilevel"/>
    <w:tmpl w:val="BD68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B7666"/>
    <w:multiLevelType w:val="hybridMultilevel"/>
    <w:tmpl w:val="F18AC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B5D93"/>
    <w:multiLevelType w:val="multilevel"/>
    <w:tmpl w:val="32320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3B156F1"/>
    <w:multiLevelType w:val="hybridMultilevel"/>
    <w:tmpl w:val="6C8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8E73C72"/>
    <w:multiLevelType w:val="hybridMultilevel"/>
    <w:tmpl w:val="2346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C55E0"/>
    <w:multiLevelType w:val="hybridMultilevel"/>
    <w:tmpl w:val="C96835DA"/>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E154B0"/>
    <w:multiLevelType w:val="multilevel"/>
    <w:tmpl w:val="C4183F12"/>
    <w:numStyleLink w:val="AHPRANumberedlist"/>
  </w:abstractNum>
  <w:abstractNum w:abstractNumId="42" w15:restartNumberingAfterBreak="0">
    <w:nsid w:val="7AE57532"/>
    <w:multiLevelType w:val="hybridMultilevel"/>
    <w:tmpl w:val="8B6C1C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2610BB"/>
    <w:multiLevelType w:val="hybridMultilevel"/>
    <w:tmpl w:val="FF68D3A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1660"/>
    <w:multiLevelType w:val="multilevel"/>
    <w:tmpl w:val="C4183F12"/>
    <w:numStyleLink w:val="AHPRANumberedlist"/>
  </w:abstractNum>
  <w:abstractNum w:abstractNumId="45" w15:restartNumberingAfterBreak="0">
    <w:nsid w:val="7F6A57DC"/>
    <w:multiLevelType w:val="hybridMultilevel"/>
    <w:tmpl w:val="505A0D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0"/>
  </w:num>
  <w:num w:numId="2">
    <w:abstractNumId w:val="29"/>
  </w:num>
  <w:num w:numId="3">
    <w:abstractNumId w:val="5"/>
  </w:num>
  <w:num w:numId="4">
    <w:abstractNumId w:val="7"/>
  </w:num>
  <w:num w:numId="5">
    <w:abstractNumId w:val="11"/>
  </w:num>
  <w:num w:numId="6">
    <w:abstractNumId w:val="19"/>
  </w:num>
  <w:num w:numId="7">
    <w:abstractNumId w:val="4"/>
  </w:num>
  <w:num w:numId="8">
    <w:abstractNumId w:val="22"/>
  </w:num>
  <w:num w:numId="9">
    <w:abstractNumId w:val="43"/>
  </w:num>
  <w:num w:numId="10">
    <w:abstractNumId w:val="32"/>
  </w:num>
  <w:num w:numId="11">
    <w:abstractNumId w:val="6"/>
  </w:num>
  <w:num w:numId="12">
    <w:abstractNumId w:val="41"/>
  </w:num>
  <w:num w:numId="13">
    <w:abstractNumId w:val="44"/>
  </w:num>
  <w:num w:numId="14">
    <w:abstractNumId w:val="27"/>
  </w:num>
  <w:num w:numId="15">
    <w:abstractNumId w:val="35"/>
  </w:num>
  <w:num w:numId="16">
    <w:abstractNumId w:val="16"/>
  </w:num>
  <w:num w:numId="17">
    <w:abstractNumId w:val="2"/>
  </w:num>
  <w:num w:numId="18">
    <w:abstractNumId w:val="13"/>
  </w:num>
  <w:num w:numId="19">
    <w:abstractNumId w:val="15"/>
  </w:num>
  <w:num w:numId="20">
    <w:abstractNumId w:val="30"/>
  </w:num>
  <w:num w:numId="21">
    <w:abstractNumId w:val="8"/>
  </w:num>
  <w:num w:numId="22">
    <w:abstractNumId w:val="31"/>
  </w:num>
  <w:num w:numId="23">
    <w:abstractNumId w:val="34"/>
  </w:num>
  <w:num w:numId="24">
    <w:abstractNumId w:val="12"/>
  </w:num>
  <w:num w:numId="25">
    <w:abstractNumId w:val="42"/>
  </w:num>
  <w:num w:numId="26">
    <w:abstractNumId w:val="0"/>
  </w:num>
  <w:num w:numId="27">
    <w:abstractNumId w:val="33"/>
  </w:num>
  <w:num w:numId="28">
    <w:abstractNumId w:val="39"/>
  </w:num>
  <w:num w:numId="29">
    <w:abstractNumId w:val="14"/>
  </w:num>
  <w:num w:numId="30">
    <w:abstractNumId w:val="10"/>
  </w:num>
  <w:num w:numId="31">
    <w:abstractNumId w:val="9"/>
  </w:num>
  <w:num w:numId="32">
    <w:abstractNumId w:val="37"/>
  </w:num>
  <w:num w:numId="33">
    <w:abstractNumId w:val="17"/>
  </w:num>
  <w:num w:numId="34">
    <w:abstractNumId w:val="21"/>
  </w:num>
  <w:num w:numId="35">
    <w:abstractNumId w:val="1"/>
  </w:num>
  <w:num w:numId="36">
    <w:abstractNumId w:val="18"/>
  </w:num>
  <w:num w:numId="37">
    <w:abstractNumId w:val="24"/>
  </w:num>
  <w:num w:numId="38">
    <w:abstractNumId w:val="26"/>
  </w:num>
  <w:num w:numId="39">
    <w:abstractNumId w:val="23"/>
  </w:num>
  <w:num w:numId="40">
    <w:abstractNumId w:val="28"/>
  </w:num>
  <w:num w:numId="41">
    <w:abstractNumId w:val="20"/>
  </w:num>
  <w:num w:numId="42">
    <w:abstractNumId w:val="25"/>
  </w:num>
  <w:num w:numId="4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15"/>
    <w:rsid w:val="00000033"/>
    <w:rsid w:val="00006922"/>
    <w:rsid w:val="00023904"/>
    <w:rsid w:val="000334D7"/>
    <w:rsid w:val="00052BF3"/>
    <w:rsid w:val="00061983"/>
    <w:rsid w:val="00071439"/>
    <w:rsid w:val="00082158"/>
    <w:rsid w:val="000945FB"/>
    <w:rsid w:val="000A6BF7"/>
    <w:rsid w:val="000E29C2"/>
    <w:rsid w:val="000E6D3A"/>
    <w:rsid w:val="000E7E28"/>
    <w:rsid w:val="000F5D90"/>
    <w:rsid w:val="0010139F"/>
    <w:rsid w:val="00107F83"/>
    <w:rsid w:val="0011487C"/>
    <w:rsid w:val="00144DEF"/>
    <w:rsid w:val="00146F33"/>
    <w:rsid w:val="001506FE"/>
    <w:rsid w:val="00162C6D"/>
    <w:rsid w:val="00196F14"/>
    <w:rsid w:val="001C425C"/>
    <w:rsid w:val="001C5EAE"/>
    <w:rsid w:val="001D01AA"/>
    <w:rsid w:val="001E1E31"/>
    <w:rsid w:val="001E2849"/>
    <w:rsid w:val="001E4A94"/>
    <w:rsid w:val="001E5621"/>
    <w:rsid w:val="002169EA"/>
    <w:rsid w:val="00220A3B"/>
    <w:rsid w:val="00224708"/>
    <w:rsid w:val="0022736D"/>
    <w:rsid w:val="0028013F"/>
    <w:rsid w:val="00295B44"/>
    <w:rsid w:val="002A45B4"/>
    <w:rsid w:val="002B2D48"/>
    <w:rsid w:val="002C08FB"/>
    <w:rsid w:val="002C34EA"/>
    <w:rsid w:val="002D599C"/>
    <w:rsid w:val="00301BC0"/>
    <w:rsid w:val="00303BE1"/>
    <w:rsid w:val="00305AFC"/>
    <w:rsid w:val="003354E4"/>
    <w:rsid w:val="00361DE0"/>
    <w:rsid w:val="00393516"/>
    <w:rsid w:val="003A4E0E"/>
    <w:rsid w:val="003B5E14"/>
    <w:rsid w:val="003D0B3C"/>
    <w:rsid w:val="003D6DBD"/>
    <w:rsid w:val="003E00B5"/>
    <w:rsid w:val="003E3268"/>
    <w:rsid w:val="003E6BB2"/>
    <w:rsid w:val="003F2F06"/>
    <w:rsid w:val="003F714C"/>
    <w:rsid w:val="00405C0A"/>
    <w:rsid w:val="00414AF0"/>
    <w:rsid w:val="00414F2C"/>
    <w:rsid w:val="00416F51"/>
    <w:rsid w:val="00450B34"/>
    <w:rsid w:val="004606A7"/>
    <w:rsid w:val="00462F0F"/>
    <w:rsid w:val="004671AD"/>
    <w:rsid w:val="004A5E5D"/>
    <w:rsid w:val="004B438E"/>
    <w:rsid w:val="004B747B"/>
    <w:rsid w:val="004C63AF"/>
    <w:rsid w:val="004D7537"/>
    <w:rsid w:val="004F5C05"/>
    <w:rsid w:val="005056B4"/>
    <w:rsid w:val="00516EF2"/>
    <w:rsid w:val="00530BFF"/>
    <w:rsid w:val="0053749F"/>
    <w:rsid w:val="00546B56"/>
    <w:rsid w:val="005518A4"/>
    <w:rsid w:val="00553A4C"/>
    <w:rsid w:val="00554335"/>
    <w:rsid w:val="005565CE"/>
    <w:rsid w:val="00565BBC"/>
    <w:rsid w:val="005708AE"/>
    <w:rsid w:val="005826C0"/>
    <w:rsid w:val="00586F30"/>
    <w:rsid w:val="005A0FA9"/>
    <w:rsid w:val="005C5932"/>
    <w:rsid w:val="005C6817"/>
    <w:rsid w:val="005E0245"/>
    <w:rsid w:val="005F393C"/>
    <w:rsid w:val="00616043"/>
    <w:rsid w:val="00622247"/>
    <w:rsid w:val="00622692"/>
    <w:rsid w:val="00640B2C"/>
    <w:rsid w:val="0064226A"/>
    <w:rsid w:val="00652069"/>
    <w:rsid w:val="006600F0"/>
    <w:rsid w:val="00666B15"/>
    <w:rsid w:val="00667CAD"/>
    <w:rsid w:val="00670F48"/>
    <w:rsid w:val="00672A98"/>
    <w:rsid w:val="00681D5E"/>
    <w:rsid w:val="006870F9"/>
    <w:rsid w:val="006C0257"/>
    <w:rsid w:val="006C0E29"/>
    <w:rsid w:val="006D30FE"/>
    <w:rsid w:val="006D3757"/>
    <w:rsid w:val="006D45FD"/>
    <w:rsid w:val="006D6D35"/>
    <w:rsid w:val="006E19CD"/>
    <w:rsid w:val="006F585B"/>
    <w:rsid w:val="006F7348"/>
    <w:rsid w:val="006F796D"/>
    <w:rsid w:val="0070155F"/>
    <w:rsid w:val="007372A4"/>
    <w:rsid w:val="00741B04"/>
    <w:rsid w:val="00743DD2"/>
    <w:rsid w:val="00756249"/>
    <w:rsid w:val="0076115C"/>
    <w:rsid w:val="007664F3"/>
    <w:rsid w:val="007840D7"/>
    <w:rsid w:val="007907EC"/>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79D5"/>
    <w:rsid w:val="008A2A8D"/>
    <w:rsid w:val="008A4C3B"/>
    <w:rsid w:val="008A56B3"/>
    <w:rsid w:val="008B2AD7"/>
    <w:rsid w:val="008C5F92"/>
    <w:rsid w:val="008D6B7E"/>
    <w:rsid w:val="008D7845"/>
    <w:rsid w:val="008F0686"/>
    <w:rsid w:val="009031EA"/>
    <w:rsid w:val="009138F9"/>
    <w:rsid w:val="00923B23"/>
    <w:rsid w:val="009255BD"/>
    <w:rsid w:val="00937ED0"/>
    <w:rsid w:val="00952797"/>
    <w:rsid w:val="009777D3"/>
    <w:rsid w:val="00984E15"/>
    <w:rsid w:val="009859E6"/>
    <w:rsid w:val="009A0A5D"/>
    <w:rsid w:val="009A7957"/>
    <w:rsid w:val="009C6933"/>
    <w:rsid w:val="009D0759"/>
    <w:rsid w:val="009E4D57"/>
    <w:rsid w:val="009F3F6B"/>
    <w:rsid w:val="00A04C7A"/>
    <w:rsid w:val="00A058E5"/>
    <w:rsid w:val="00A10C1A"/>
    <w:rsid w:val="00A10F51"/>
    <w:rsid w:val="00A2072E"/>
    <w:rsid w:val="00A237BB"/>
    <w:rsid w:val="00A41D89"/>
    <w:rsid w:val="00A44A9E"/>
    <w:rsid w:val="00A458ED"/>
    <w:rsid w:val="00A509AB"/>
    <w:rsid w:val="00A63991"/>
    <w:rsid w:val="00A76BFC"/>
    <w:rsid w:val="00A82078"/>
    <w:rsid w:val="00A838C8"/>
    <w:rsid w:val="00A86D88"/>
    <w:rsid w:val="00A91C42"/>
    <w:rsid w:val="00A91ED9"/>
    <w:rsid w:val="00A9516B"/>
    <w:rsid w:val="00A96861"/>
    <w:rsid w:val="00A9780A"/>
    <w:rsid w:val="00AA00AF"/>
    <w:rsid w:val="00AA2FC9"/>
    <w:rsid w:val="00AB283D"/>
    <w:rsid w:val="00AB3A62"/>
    <w:rsid w:val="00AB41D8"/>
    <w:rsid w:val="00AD312E"/>
    <w:rsid w:val="00AE3EAF"/>
    <w:rsid w:val="00B024B0"/>
    <w:rsid w:val="00B104B9"/>
    <w:rsid w:val="00B14866"/>
    <w:rsid w:val="00B34EDA"/>
    <w:rsid w:val="00B465D2"/>
    <w:rsid w:val="00B50797"/>
    <w:rsid w:val="00B51748"/>
    <w:rsid w:val="00B57198"/>
    <w:rsid w:val="00B85023"/>
    <w:rsid w:val="00BA1216"/>
    <w:rsid w:val="00BA2456"/>
    <w:rsid w:val="00BA469B"/>
    <w:rsid w:val="00BB4A5B"/>
    <w:rsid w:val="00BF2534"/>
    <w:rsid w:val="00BF79DC"/>
    <w:rsid w:val="00C35DE1"/>
    <w:rsid w:val="00C3795C"/>
    <w:rsid w:val="00C524AA"/>
    <w:rsid w:val="00C54689"/>
    <w:rsid w:val="00C7035B"/>
    <w:rsid w:val="00C81B3A"/>
    <w:rsid w:val="00C84AE0"/>
    <w:rsid w:val="00C85A14"/>
    <w:rsid w:val="00C90915"/>
    <w:rsid w:val="00CB6C08"/>
    <w:rsid w:val="00CD0DCA"/>
    <w:rsid w:val="00CE5855"/>
    <w:rsid w:val="00D12F61"/>
    <w:rsid w:val="00D201C6"/>
    <w:rsid w:val="00D476D0"/>
    <w:rsid w:val="00D544E0"/>
    <w:rsid w:val="00D638E0"/>
    <w:rsid w:val="00D65016"/>
    <w:rsid w:val="00D716BA"/>
    <w:rsid w:val="00D83C90"/>
    <w:rsid w:val="00D8404D"/>
    <w:rsid w:val="00D87C12"/>
    <w:rsid w:val="00DB191A"/>
    <w:rsid w:val="00DC2952"/>
    <w:rsid w:val="00DF1AB7"/>
    <w:rsid w:val="00E07C02"/>
    <w:rsid w:val="00E11540"/>
    <w:rsid w:val="00E12B06"/>
    <w:rsid w:val="00E15BF6"/>
    <w:rsid w:val="00E4514A"/>
    <w:rsid w:val="00E54005"/>
    <w:rsid w:val="00E71CB9"/>
    <w:rsid w:val="00E73698"/>
    <w:rsid w:val="00E77E23"/>
    <w:rsid w:val="00E8251C"/>
    <w:rsid w:val="00E844A0"/>
    <w:rsid w:val="00E862B8"/>
    <w:rsid w:val="00EA248E"/>
    <w:rsid w:val="00ED2159"/>
    <w:rsid w:val="00F13ED2"/>
    <w:rsid w:val="00F15E84"/>
    <w:rsid w:val="00F27ACB"/>
    <w:rsid w:val="00F3616F"/>
    <w:rsid w:val="00F40047"/>
    <w:rsid w:val="00F51506"/>
    <w:rsid w:val="00F6418D"/>
    <w:rsid w:val="00F6618F"/>
    <w:rsid w:val="00F70DD5"/>
    <w:rsid w:val="00F73165"/>
    <w:rsid w:val="00F76B61"/>
    <w:rsid w:val="00F90BCE"/>
    <w:rsid w:val="00FC2881"/>
    <w:rsid w:val="00FD7DB5"/>
    <w:rsid w:val="00FD7DC1"/>
    <w:rsid w:val="00FF785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07CDC1E-40D9-49AC-AF2E-9396981B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11"/>
      </w:numPr>
    </w:pPr>
  </w:style>
  <w:style w:type="paragraph" w:styleId="Heading3">
    <w:name w:val="heading 3"/>
    <w:basedOn w:val="AHPRASubheadinglevel3"/>
    <w:next w:val="Normal"/>
    <w:link w:val="Heading3Char"/>
    <w:uiPriority w:val="9"/>
    <w:unhideWhenUsed/>
    <w:qFormat/>
    <w:rsid w:val="008A56B3"/>
    <w:pPr>
      <w:numPr>
        <w:ilvl w:val="2"/>
        <w:numId w:val="11"/>
      </w:numPr>
      <w:outlineLvl w:val="2"/>
    </w:pPr>
  </w:style>
  <w:style w:type="paragraph" w:styleId="Heading4">
    <w:name w:val="heading 4"/>
    <w:basedOn w:val="Normal"/>
    <w:next w:val="Normal"/>
    <w:link w:val="Heading4Char"/>
    <w:uiPriority w:val="9"/>
    <w:semiHidden/>
    <w:unhideWhenUsed/>
    <w:rsid w:val="008A56B3"/>
    <w:pPr>
      <w:keepNext/>
      <w:keepLines/>
      <w:numPr>
        <w:ilvl w:val="3"/>
        <w:numId w:val="1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11"/>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2"/>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11"/>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42"/>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43"/>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43"/>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46"/>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Publications.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eopathyboard.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HPR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aghealthcouncil.gov.au/Publications/Communiques/ArtMID/522/ArticleID/53/17-April-2015-COAG-Health-Council-Communiq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pra.gov.au/News/2015-07-07-media-release-ministers-announce-appointments.asp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2A43-46AA-4783-B306-886A0EB8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18 December 2014  meeting of the Osteopathy Board of Australia</vt:lpstr>
    </vt:vector>
  </TitlesOfParts>
  <Company>Johanna Villani Design</Company>
  <LinksUpToDate>false</LinksUpToDate>
  <CharactersWithSpaces>4646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Osteopathy Board - Communique - Meeting of the Osteopathy Board of Australia - 25 June 2015</dc:title>
  <dc:subject>Communique</dc:subject>
  <dc:creator>Osteopathy Board</dc:creator>
  <cp:keywords/>
  <cp:lastModifiedBy>Sheryl Kamath</cp:lastModifiedBy>
  <cp:revision>2</cp:revision>
  <cp:lastPrinted>2012-02-10T00:45:00Z</cp:lastPrinted>
  <dcterms:created xsi:type="dcterms:W3CDTF">2015-07-09T22:21:00Z</dcterms:created>
  <dcterms:modified xsi:type="dcterms:W3CDTF">2015-07-09T22:21:00Z</dcterms:modified>
</cp:coreProperties>
</file>