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B465D2" w:rsidP="008A56B3">
      <w:pPr>
        <w:pStyle w:val="AHPRADocumenttitle"/>
      </w:pPr>
      <w:r>
        <w:rPr>
          <w:noProof/>
          <w:lang w:eastAsia="en-AU"/>
        </w:rPr>
        <mc:AlternateContent>
          <mc:Choice Requires="wps">
            <w:drawing>
              <wp:anchor distT="4294967293" distB="4294967293" distL="114300" distR="114300" simplePos="0" relativeHeight="251657728" behindDoc="0" locked="0" layoutInCell="1" allowOverlap="1" wp14:anchorId="3F9AE076" wp14:editId="33A1D4ED">
                <wp:simplePos x="0" y="0"/>
                <wp:positionH relativeFrom="column">
                  <wp:posOffset>-800735</wp:posOffset>
                </wp:positionH>
                <wp:positionV relativeFrom="paragraph">
                  <wp:posOffset>462279</wp:posOffset>
                </wp:positionV>
                <wp:extent cx="3925570" cy="0"/>
                <wp:effectExtent l="0" t="0" r="1778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DC8E7" id="_x0000_t32" coordsize="21600,21600" o:spt="32" o:oned="t" path="m,l21600,21600e" filled="f">
                <v:path arrowok="t" fillok="f" o:connecttype="none"/>
                <o:lock v:ext="edit" shapetype="t"/>
              </v:shapetype>
              <v:shape id="AutoShape 3" o:spid="_x0000_s1026" type="#_x0000_t32" style="position:absolute;margin-left:-63.05pt;margin-top:36.4pt;width:309.1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D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"/>
            </w:pict>
          </mc:Fallback>
        </mc:AlternateContent>
      </w:r>
      <w:r w:rsidR="00984E15">
        <w:rPr>
          <w:noProof/>
          <w:lang w:val="en-US"/>
        </w:rPr>
        <w:t>Communiqué</w:t>
      </w:r>
    </w:p>
    <w:p w:rsidR="009138F9" w:rsidRDefault="009138F9" w:rsidP="000E29C2">
      <w:pPr>
        <w:spacing w:line="360" w:lineRule="auto"/>
      </w:pPr>
    </w:p>
    <w:p w:rsidR="00622247" w:rsidRDefault="004C63AF" w:rsidP="00984E15">
      <w:pPr>
        <w:pStyle w:val="AHPRADocumentsubheading"/>
      </w:pPr>
      <w:r>
        <w:t>29 May</w:t>
      </w:r>
      <w:r w:rsidR="00C7035B">
        <w:t xml:space="preserve"> 2015</w:t>
      </w:r>
      <w:r w:rsidR="00984E15" w:rsidRPr="00984E15">
        <w:t xml:space="preserve"> meeting of the Osteopathy Board of Australia</w:t>
      </w:r>
    </w:p>
    <w:p w:rsidR="00984E15" w:rsidRDefault="00984E15" w:rsidP="00984E15">
      <w:pPr>
        <w:pStyle w:val="AHPRAbody"/>
      </w:pPr>
      <w:r>
        <w:rPr>
          <w:rFonts w:cs="Arial"/>
          <w:color w:val="000000"/>
        </w:rPr>
        <w:t xml:space="preserve">The </w:t>
      </w:r>
      <w:r w:rsidR="00C7035B">
        <w:rPr>
          <w:rFonts w:cs="Arial"/>
          <w:color w:val="000000"/>
        </w:rPr>
        <w:t>6</w:t>
      </w:r>
      <w:r w:rsidR="004C63AF">
        <w:rPr>
          <w:rFonts w:cs="Arial"/>
          <w:color w:val="000000"/>
        </w:rPr>
        <w:t>8</w:t>
      </w:r>
      <w:r w:rsidR="00C7035B" w:rsidRPr="00663202">
        <w:rPr>
          <w:rFonts w:cs="Arial"/>
          <w:color w:val="000000"/>
          <w:vertAlign w:val="superscript"/>
        </w:rPr>
        <w:t>th</w:t>
      </w:r>
      <w:r w:rsidR="00C7035B">
        <w:rPr>
          <w:rFonts w:cs="Arial"/>
          <w:color w:val="000000"/>
          <w:vertAlign w:val="superscript"/>
        </w:rPr>
        <w:t xml:space="preserve"> </w:t>
      </w:r>
      <w:r w:rsidRPr="00DF1D2B">
        <w:rPr>
          <w:rFonts w:cs="Arial"/>
          <w:color w:val="000000"/>
        </w:rPr>
        <w:t xml:space="preserve">meeting of the Osteopathy Board of Australia </w:t>
      </w:r>
      <w:r>
        <w:rPr>
          <w:rFonts w:cs="Arial"/>
          <w:color w:val="000000"/>
        </w:rPr>
        <w:t>(the Board) was</w:t>
      </w:r>
      <w:r w:rsidRPr="00DF1D2B">
        <w:rPr>
          <w:rFonts w:cs="Arial"/>
          <w:color w:val="000000"/>
        </w:rPr>
        <w:t xml:space="preserve"> held</w:t>
      </w:r>
      <w:r>
        <w:rPr>
          <w:rFonts w:cs="Arial"/>
          <w:color w:val="000000"/>
        </w:rPr>
        <w:t xml:space="preserve"> on</w:t>
      </w:r>
      <w:r w:rsidRPr="00EE5AB8">
        <w:rPr>
          <w:lang w:val="en-GB"/>
        </w:rPr>
        <w:t xml:space="preserve"> </w:t>
      </w:r>
      <w:r w:rsidR="004C63AF">
        <w:rPr>
          <w:lang w:val="en-GB"/>
        </w:rPr>
        <w:t>29 May</w:t>
      </w:r>
      <w:r w:rsidR="00C7035B">
        <w:rPr>
          <w:lang w:val="en-GB"/>
        </w:rPr>
        <w:t xml:space="preserve"> 2015</w:t>
      </w:r>
      <w:r>
        <w:rPr>
          <w:lang w:val="en-GB"/>
        </w:rPr>
        <w:t xml:space="preserve"> in Melbourne</w:t>
      </w:r>
      <w:r>
        <w:rPr>
          <w:rFonts w:cs="Arial"/>
        </w:rPr>
        <w:t xml:space="preserve">. </w:t>
      </w:r>
      <w:r w:rsidRPr="000E3140">
        <w:t>This communiqué highlights key discussions and considerations from the Board’s</w:t>
      </w:r>
      <w:r>
        <w:t xml:space="preserve"> meeting. The Board publishes</w:t>
      </w:r>
      <w:r w:rsidRPr="00F362BF">
        <w:t xml:space="preserve"> this communiqué on our website and email</w:t>
      </w:r>
      <w:r>
        <w:t>s</w:t>
      </w:r>
      <w:r w:rsidRPr="00F362BF">
        <w:t xml:space="preserve"> it to a broad range of stakeholders. </w:t>
      </w:r>
      <w:r w:rsidRPr="00D97E48">
        <w:rPr>
          <w:rFonts w:cs="Arial"/>
        </w:rPr>
        <w:t xml:space="preserve">At each meeting, the Board considers a wide range of issues, many of which are routine and are </w:t>
      </w:r>
      <w:r>
        <w:rPr>
          <w:rFonts w:cs="Arial"/>
        </w:rPr>
        <w:t>not included in this communiqué</w:t>
      </w:r>
      <w:r w:rsidRPr="00F362BF">
        <w:t>.</w:t>
      </w:r>
    </w:p>
    <w:p w:rsidR="004C63AF" w:rsidRPr="00BF5B32" w:rsidRDefault="004C63AF" w:rsidP="004C63AF">
      <w:pPr>
        <w:pStyle w:val="Default"/>
        <w:spacing w:after="200"/>
        <w:rPr>
          <w:b/>
          <w:bCs/>
          <w:color w:val="008EC4"/>
          <w:sz w:val="20"/>
          <w:szCs w:val="20"/>
        </w:rPr>
      </w:pPr>
      <w:r>
        <w:rPr>
          <w:b/>
          <w:bCs/>
          <w:color w:val="008EC4"/>
          <w:sz w:val="20"/>
          <w:szCs w:val="20"/>
        </w:rPr>
        <w:t>Health Profession Agreement and fees</w:t>
      </w:r>
    </w:p>
    <w:p w:rsidR="004C63AF" w:rsidRPr="00374277" w:rsidRDefault="004C63AF" w:rsidP="004C63AF">
      <w:pPr>
        <w:pStyle w:val="AHPRAbody"/>
        <w:spacing w:after="120"/>
        <w:rPr>
          <w:szCs w:val="20"/>
        </w:rPr>
      </w:pPr>
      <w:r w:rsidRPr="00374277">
        <w:rPr>
          <w:szCs w:val="20"/>
        </w:rPr>
        <w:t xml:space="preserve">The Health Profession Agreement (HPA) between the Board and AHPRA is being finalised and will be published on the </w:t>
      </w:r>
      <w:r>
        <w:rPr>
          <w:szCs w:val="20"/>
        </w:rPr>
        <w:t xml:space="preserve">Board’s </w:t>
      </w:r>
      <w:r w:rsidRPr="00374277">
        <w:rPr>
          <w:szCs w:val="20"/>
        </w:rPr>
        <w:t>website s</w:t>
      </w:r>
      <w:r>
        <w:rPr>
          <w:szCs w:val="20"/>
        </w:rPr>
        <w:t>hortly</w:t>
      </w:r>
      <w:r w:rsidRPr="00374277">
        <w:rPr>
          <w:szCs w:val="20"/>
        </w:rPr>
        <w:t xml:space="preserve">. It sets out the services </w:t>
      </w:r>
      <w:r>
        <w:rPr>
          <w:szCs w:val="20"/>
        </w:rPr>
        <w:t xml:space="preserve">that </w:t>
      </w:r>
      <w:r w:rsidRPr="00374277">
        <w:rPr>
          <w:szCs w:val="20"/>
        </w:rPr>
        <w:t xml:space="preserve">AHPRA will provide to support the Board to regulate </w:t>
      </w:r>
      <w:r>
        <w:rPr>
          <w:szCs w:val="20"/>
        </w:rPr>
        <w:t>osteopaths</w:t>
      </w:r>
      <w:r w:rsidRPr="00374277">
        <w:rPr>
          <w:szCs w:val="20"/>
        </w:rPr>
        <w:t>.  The HPA will provide information about the Board’s financial operations and fees.</w:t>
      </w:r>
    </w:p>
    <w:p w:rsidR="004C63AF" w:rsidRDefault="004C63AF" w:rsidP="004C63AF">
      <w:pPr>
        <w:pStyle w:val="AHPRASubhead"/>
      </w:pPr>
      <w:r>
        <w:t>Royal commission into institutional responses</w:t>
      </w:r>
      <w:bookmarkStart w:id="0" w:name="_GoBack"/>
      <w:bookmarkEnd w:id="0"/>
      <w:r>
        <w:t xml:space="preserve"> to child sex abuse</w:t>
      </w:r>
    </w:p>
    <w:p w:rsidR="004C63AF" w:rsidRDefault="004C63AF" w:rsidP="004C63AF">
      <w:pPr>
        <w:pStyle w:val="AHPRAbody"/>
      </w:pPr>
      <w:r>
        <w:t xml:space="preserve">The Board and AHPRA have been following the </w:t>
      </w:r>
      <w:hyperlink r:id="rId8" w:history="1">
        <w:r w:rsidRPr="00CD15DE">
          <w:rPr>
            <w:rStyle w:val="Hyperlink"/>
          </w:rPr>
          <w:t xml:space="preserve">Royal Commission into </w:t>
        </w:r>
        <w:r w:rsidR="00B465D2">
          <w:rPr>
            <w:rStyle w:val="Hyperlink"/>
          </w:rPr>
          <w:t>I</w:t>
        </w:r>
        <w:r w:rsidR="00B465D2" w:rsidRPr="00CD15DE">
          <w:rPr>
            <w:rStyle w:val="Hyperlink"/>
          </w:rPr>
          <w:t xml:space="preserve">nstitutional </w:t>
        </w:r>
        <w:r w:rsidR="00B465D2">
          <w:rPr>
            <w:rStyle w:val="Hyperlink"/>
          </w:rPr>
          <w:t>R</w:t>
        </w:r>
        <w:r w:rsidR="00B465D2" w:rsidRPr="00CD15DE">
          <w:rPr>
            <w:rStyle w:val="Hyperlink"/>
          </w:rPr>
          <w:t xml:space="preserve">esponses </w:t>
        </w:r>
        <w:r w:rsidRPr="00CD15DE">
          <w:rPr>
            <w:rStyle w:val="Hyperlink"/>
          </w:rPr>
          <w:t xml:space="preserve">to </w:t>
        </w:r>
        <w:r w:rsidR="00B465D2">
          <w:rPr>
            <w:rStyle w:val="Hyperlink"/>
          </w:rPr>
          <w:t>C</w:t>
        </w:r>
        <w:r w:rsidR="00B465D2" w:rsidRPr="00CD15DE">
          <w:rPr>
            <w:rStyle w:val="Hyperlink"/>
          </w:rPr>
          <w:t xml:space="preserve">hild </w:t>
        </w:r>
        <w:r w:rsidR="00B465D2">
          <w:rPr>
            <w:rStyle w:val="Hyperlink"/>
          </w:rPr>
          <w:t>S</w:t>
        </w:r>
        <w:r w:rsidR="00B465D2" w:rsidRPr="00CD15DE">
          <w:rPr>
            <w:rStyle w:val="Hyperlink"/>
          </w:rPr>
          <w:t>ex</w:t>
        </w:r>
        <w:r w:rsidR="00B465D2">
          <w:rPr>
            <w:rStyle w:val="Hyperlink"/>
          </w:rPr>
          <w:t>ual</w:t>
        </w:r>
        <w:r w:rsidR="00B465D2" w:rsidRPr="00CD15DE">
          <w:rPr>
            <w:rStyle w:val="Hyperlink"/>
          </w:rPr>
          <w:t xml:space="preserve"> </w:t>
        </w:r>
        <w:r w:rsidR="00B465D2">
          <w:rPr>
            <w:rStyle w:val="Hyperlink"/>
          </w:rPr>
          <w:t>A</w:t>
        </w:r>
        <w:r w:rsidRPr="00CD15DE">
          <w:rPr>
            <w:rStyle w:val="Hyperlink"/>
          </w:rPr>
          <w:t>buse</w:t>
        </w:r>
      </w:hyperlink>
      <w:r>
        <w:t xml:space="preserve"> and its implications for the regulation of health practitioners. The issues raised in the Royal Commission are serious and disturbing. </w:t>
      </w:r>
    </w:p>
    <w:p w:rsidR="004C63AF" w:rsidRPr="00CD15DE" w:rsidRDefault="004C63AF" w:rsidP="004C63AF">
      <w:pPr>
        <w:pStyle w:val="AHPRAbody"/>
      </w:pPr>
      <w:r w:rsidRPr="00CD15DE">
        <w:t>The Board and AHPRA are committed to learning from the evidence before the Royal Commission and its findings and taking action to make sure our regulatory system is responsive to anyone who has been sexually abused by a registered health practitioner, who comes forward. </w:t>
      </w:r>
    </w:p>
    <w:p w:rsidR="004C63AF" w:rsidRPr="00CD15DE" w:rsidRDefault="004C63AF" w:rsidP="004C63AF">
      <w:pPr>
        <w:pStyle w:val="AHPRAbody"/>
      </w:pPr>
      <w:r w:rsidRPr="00CD15DE">
        <w:t>If you have a concern about a health practitioner call: </w:t>
      </w:r>
    </w:p>
    <w:p w:rsidR="004C63AF" w:rsidRPr="00CD15DE" w:rsidRDefault="004C63AF" w:rsidP="004C63AF">
      <w:pPr>
        <w:pStyle w:val="AHPRABulletlevel1"/>
        <w:numPr>
          <w:ilvl w:val="0"/>
          <w:numId w:val="2"/>
        </w:numPr>
        <w:ind w:left="720"/>
        <w:rPr>
          <w:lang w:val="en-US"/>
        </w:rPr>
      </w:pPr>
      <w:r w:rsidRPr="00CD15DE">
        <w:rPr>
          <w:lang w:val="en-US"/>
        </w:rPr>
        <w:t>AHPRA</w:t>
      </w:r>
      <w:r>
        <w:rPr>
          <w:lang w:val="en-US"/>
        </w:rPr>
        <w:tab/>
      </w:r>
      <w:r>
        <w:rPr>
          <w:lang w:val="en-US"/>
        </w:rPr>
        <w:tab/>
      </w:r>
      <w:r w:rsidRPr="00CD15DE">
        <w:rPr>
          <w:lang w:val="en-US"/>
        </w:rPr>
        <w:t>1300 419 495</w:t>
      </w:r>
    </w:p>
    <w:p w:rsidR="004C63AF" w:rsidRPr="00CD15DE" w:rsidRDefault="004C63AF" w:rsidP="004C63AF">
      <w:pPr>
        <w:pStyle w:val="AHPRABulletlevel1"/>
        <w:numPr>
          <w:ilvl w:val="0"/>
          <w:numId w:val="2"/>
        </w:numPr>
        <w:ind w:left="720"/>
        <w:rPr>
          <w:lang w:val="en-US"/>
        </w:rPr>
      </w:pPr>
      <w:r w:rsidRPr="00CD15DE">
        <w:rPr>
          <w:lang w:val="en-US"/>
        </w:rPr>
        <w:t xml:space="preserve">NSW </w:t>
      </w:r>
      <w:r>
        <w:rPr>
          <w:lang w:val="en-US"/>
        </w:rPr>
        <w:tab/>
      </w:r>
      <w:r>
        <w:rPr>
          <w:lang w:val="en-US"/>
        </w:rPr>
        <w:tab/>
      </w:r>
      <w:r w:rsidRPr="003A4E0E">
        <w:rPr>
          <w:lang w:val="en-US"/>
        </w:rPr>
        <w:t>1800 043 159, or</w:t>
      </w:r>
    </w:p>
    <w:p w:rsidR="004C63AF" w:rsidRDefault="004C63AF" w:rsidP="003A4E0E">
      <w:pPr>
        <w:pStyle w:val="AHPRABulletlevel1"/>
        <w:numPr>
          <w:ilvl w:val="0"/>
          <w:numId w:val="2"/>
        </w:numPr>
        <w:spacing w:after="200"/>
        <w:ind w:left="709" w:hanging="369"/>
      </w:pPr>
      <w:r w:rsidRPr="00CD15DE">
        <w:t>Q</w:t>
      </w:r>
      <w:r>
        <w:t>ueensland</w:t>
      </w:r>
      <w:r>
        <w:tab/>
      </w:r>
      <w:r w:rsidRPr="003A4E0E">
        <w:rPr>
          <w:lang w:val="en-US"/>
        </w:rPr>
        <w:t>133 646 (133 OHO).</w:t>
      </w:r>
    </w:p>
    <w:p w:rsidR="004C63AF" w:rsidRDefault="004C63AF" w:rsidP="004C63AF">
      <w:pPr>
        <w:pStyle w:val="AHPRASubhead"/>
      </w:pPr>
      <w:r>
        <w:t>Quarterly registration data released</w:t>
      </w:r>
    </w:p>
    <w:p w:rsidR="004C63AF" w:rsidRDefault="004C63AF" w:rsidP="004C63AF">
      <w:pPr>
        <w:pStyle w:val="AHPRAbody"/>
      </w:pPr>
      <w:r>
        <w:t xml:space="preserve">The Board has released its quarterly registration data. You can find the latest report and other statistics </w:t>
      </w:r>
      <w:hyperlink r:id="rId9" w:history="1">
        <w:r w:rsidRPr="004C63AF">
          <w:rPr>
            <w:rStyle w:val="Hyperlink"/>
          </w:rPr>
          <w:t>here</w:t>
        </w:r>
      </w:hyperlink>
      <w:r>
        <w:t xml:space="preserve">. </w:t>
      </w:r>
    </w:p>
    <w:p w:rsidR="004C63AF" w:rsidRPr="00B243D5" w:rsidRDefault="004C63AF" w:rsidP="004C63AF">
      <w:pPr>
        <w:pStyle w:val="AHPRASubhead"/>
      </w:pPr>
      <w:r>
        <w:t>Top tips for using the register</w:t>
      </w:r>
    </w:p>
    <w:p w:rsidR="004C63AF" w:rsidRDefault="004C63AF" w:rsidP="004C63AF">
      <w:pPr>
        <w:pStyle w:val="AHPRAbody"/>
      </w:pPr>
      <w:r>
        <w:t xml:space="preserve">The </w:t>
      </w:r>
      <w:hyperlink r:id="rId10" w:history="1">
        <w:r w:rsidRPr="00D120AC">
          <w:rPr>
            <w:rStyle w:val="Hyperlink"/>
          </w:rPr>
          <w:t>register of practitioners</w:t>
        </w:r>
      </w:hyperlink>
      <w:r>
        <w:t xml:space="preserve"> is core to all of our work because it provides up to date information about every registered health practitioner. To help the public and employers get the most out of the register, we have developed </w:t>
      </w:r>
      <w:hyperlink r:id="rId11" w:history="1">
        <w:r w:rsidRPr="00D120AC">
          <w:rPr>
            <w:rStyle w:val="Hyperlink"/>
          </w:rPr>
          <w:t>these tips</w:t>
        </w:r>
      </w:hyperlink>
      <w:r>
        <w:t>. In particular, the tips remind anyone responsible for recruiting health practitioners how to use the register to verify a practitioner’s registration status.</w:t>
      </w:r>
    </w:p>
    <w:p w:rsidR="0064226A" w:rsidRPr="00C84AE0" w:rsidRDefault="0064226A" w:rsidP="003A4E0E">
      <w:pPr>
        <w:pStyle w:val="AHPRASubhead"/>
      </w:pPr>
      <w:r>
        <w:t>Revised c</w:t>
      </w:r>
      <w:r w:rsidRPr="006E44BA">
        <w:t xml:space="preserve">riminal history and English language skills registration standards </w:t>
      </w:r>
      <w:r>
        <w:t>published</w:t>
      </w:r>
    </w:p>
    <w:p w:rsidR="0064226A" w:rsidRPr="00C84AE0" w:rsidRDefault="0064226A" w:rsidP="003A4E0E">
      <w:pPr>
        <w:pStyle w:val="AHPRAbody"/>
      </w:pPr>
      <w:r w:rsidRPr="00C84AE0">
        <w:t xml:space="preserve">The registration standards for criminal history and English language skills have been revised following consultation and have now been approved by the Australian Health Workforce Ministerial Council. Both standards take effect from 1 July 2015. </w:t>
      </w:r>
    </w:p>
    <w:p w:rsidR="0064226A" w:rsidRDefault="0064226A">
      <w:pPr>
        <w:spacing w:before="0" w:after="0"/>
        <w:rPr>
          <w:b/>
        </w:rPr>
      </w:pPr>
      <w:r>
        <w:rPr>
          <w:b/>
        </w:rPr>
        <w:br w:type="page"/>
      </w:r>
    </w:p>
    <w:p w:rsidR="0064226A" w:rsidRPr="006E44BA" w:rsidRDefault="0064226A" w:rsidP="0064226A">
      <w:pPr>
        <w:spacing w:before="270" w:after="270" w:line="270" w:lineRule="atLeast"/>
        <w:ind w:right="270"/>
        <w:outlineLvl w:val="3"/>
        <w:rPr>
          <w:b/>
        </w:rPr>
      </w:pPr>
      <w:r w:rsidRPr="006E44BA">
        <w:rPr>
          <w:b/>
        </w:rPr>
        <w:lastRenderedPageBreak/>
        <w:t>Criminal history</w:t>
      </w:r>
    </w:p>
    <w:p w:rsidR="0064226A" w:rsidRPr="003A4E0E" w:rsidRDefault="0064226A" w:rsidP="003A4E0E">
      <w:pPr>
        <w:pStyle w:val="AHPRAbody"/>
        <w:rPr>
          <w:color w:val="000000"/>
        </w:rPr>
      </w:pPr>
      <w:r w:rsidRPr="003A4E0E">
        <w:rPr>
          <w:rFonts w:cs="Arial"/>
          <w:color w:val="000000"/>
        </w:rPr>
        <w:t xml:space="preserve">The new criminal history registration standard is common to all National Boards. The changes are expected to have minimal impact on practitioners as no changes have been made to the factors National Boards will take into account when considering an applicant's or registrant’s criminal history. </w:t>
      </w:r>
    </w:p>
    <w:p w:rsidR="0064226A" w:rsidRPr="003A4E0E" w:rsidRDefault="0064226A" w:rsidP="003A4E0E">
      <w:pPr>
        <w:pStyle w:val="AHPRAbody"/>
        <w:rPr>
          <w:color w:val="000000"/>
        </w:rPr>
      </w:pPr>
      <w:r w:rsidRPr="003A4E0E">
        <w:rPr>
          <w:rFonts w:cs="Arial"/>
          <w:color w:val="000000"/>
        </w:rPr>
        <w:t xml:space="preserve">When a practitioner first applies for registration, the National Board requires the applicant to declare their criminal history in all countries, including Australia. All registered health practitioners must inform their National Board if they are: </w:t>
      </w:r>
    </w:p>
    <w:p w:rsidR="0064226A" w:rsidRPr="00735843" w:rsidRDefault="0064226A" w:rsidP="003A4E0E">
      <w:pPr>
        <w:pStyle w:val="ListParagraph"/>
        <w:numPr>
          <w:ilvl w:val="0"/>
          <w:numId w:val="47"/>
        </w:numPr>
        <w:spacing w:line="240" w:lineRule="auto"/>
        <w:rPr>
          <w:rFonts w:ascii="Arial" w:hAnsi="Arial" w:cs="Arial"/>
          <w:sz w:val="20"/>
          <w:szCs w:val="20"/>
        </w:rPr>
      </w:pPr>
      <w:r w:rsidRPr="00735843">
        <w:rPr>
          <w:rFonts w:ascii="Arial" w:hAnsi="Arial" w:cs="Arial"/>
          <w:sz w:val="20"/>
          <w:szCs w:val="20"/>
        </w:rPr>
        <w:t xml:space="preserve">charged with an offence punishable by 12 months imprisonment or more, or </w:t>
      </w:r>
    </w:p>
    <w:p w:rsidR="0064226A" w:rsidRPr="00735843" w:rsidRDefault="0064226A" w:rsidP="003A4E0E">
      <w:pPr>
        <w:pStyle w:val="ListParagraph"/>
        <w:numPr>
          <w:ilvl w:val="0"/>
          <w:numId w:val="47"/>
        </w:numPr>
        <w:spacing w:line="240" w:lineRule="auto"/>
        <w:rPr>
          <w:rFonts w:ascii="Arial" w:hAnsi="Arial" w:cs="Arial"/>
          <w:sz w:val="20"/>
          <w:szCs w:val="20"/>
        </w:rPr>
      </w:pPr>
      <w:r w:rsidRPr="00735843">
        <w:rPr>
          <w:rFonts w:ascii="Arial" w:hAnsi="Arial" w:cs="Arial"/>
          <w:sz w:val="20"/>
          <w:szCs w:val="20"/>
        </w:rPr>
        <w:t xml:space="preserve">convicted or found guilty of an offence punishable by imprisonment in Australia and/or overseas. </w:t>
      </w:r>
    </w:p>
    <w:p w:rsidR="0064226A" w:rsidRPr="00735843" w:rsidRDefault="0064226A" w:rsidP="003A4E0E">
      <w:pPr>
        <w:spacing w:before="0" w:after="200"/>
        <w:ind w:right="272"/>
        <w:rPr>
          <w:szCs w:val="20"/>
        </w:rPr>
      </w:pPr>
      <w:r w:rsidRPr="00735843">
        <w:rPr>
          <w:szCs w:val="20"/>
        </w:rPr>
        <w:t xml:space="preserve">When practitioners renew their registration they must disclose any changes to their criminal history. </w:t>
      </w:r>
    </w:p>
    <w:p w:rsidR="0064226A" w:rsidRDefault="0064226A" w:rsidP="003A4E0E">
      <w:pPr>
        <w:spacing w:before="0" w:after="200"/>
        <w:ind w:right="270"/>
        <w:rPr>
          <w:color w:val="444444"/>
          <w:szCs w:val="20"/>
        </w:rPr>
      </w:pPr>
      <w:r w:rsidRPr="00735843">
        <w:rPr>
          <w:szCs w:val="20"/>
        </w:rPr>
        <w:t>The registration standard and associated explanatory information are published on</w:t>
      </w:r>
      <w:r>
        <w:rPr>
          <w:color w:val="444444"/>
          <w:szCs w:val="20"/>
        </w:rPr>
        <w:t xml:space="preserve"> </w:t>
      </w:r>
      <w:hyperlink r:id="rId12" w:history="1">
        <w:r>
          <w:rPr>
            <w:rStyle w:val="Hyperlink"/>
            <w:szCs w:val="20"/>
          </w:rPr>
          <w:t>AHPRA’s website</w:t>
        </w:r>
      </w:hyperlink>
      <w:r>
        <w:rPr>
          <w:color w:val="444444"/>
          <w:szCs w:val="20"/>
        </w:rPr>
        <w:t xml:space="preserve">. </w:t>
      </w:r>
    </w:p>
    <w:p w:rsidR="0064226A" w:rsidRPr="006E44BA" w:rsidRDefault="0064226A" w:rsidP="003A4E0E">
      <w:pPr>
        <w:spacing w:before="0" w:after="200"/>
        <w:ind w:right="270"/>
        <w:outlineLvl w:val="4"/>
        <w:rPr>
          <w:b/>
          <w:bCs/>
          <w:szCs w:val="20"/>
        </w:rPr>
      </w:pPr>
      <w:r w:rsidRPr="006E44BA">
        <w:rPr>
          <w:b/>
          <w:bCs/>
          <w:szCs w:val="20"/>
        </w:rPr>
        <w:t>English language skills</w:t>
      </w:r>
    </w:p>
    <w:p w:rsidR="0064226A" w:rsidRPr="006E44BA" w:rsidRDefault="0064226A" w:rsidP="003A4E0E">
      <w:pPr>
        <w:spacing w:before="0" w:after="200"/>
        <w:ind w:right="270"/>
        <w:rPr>
          <w:szCs w:val="20"/>
        </w:rPr>
      </w:pPr>
      <w:r w:rsidRPr="006E44BA">
        <w:rPr>
          <w:szCs w:val="20"/>
        </w:rPr>
        <w:t xml:space="preserve">The new registration standard for English language skills applies to all applicants for initial registration, regardless of whether they qualified in Australia or overseas. </w:t>
      </w:r>
    </w:p>
    <w:p w:rsidR="0064226A" w:rsidRPr="006E44BA" w:rsidRDefault="0064226A" w:rsidP="003A4E0E">
      <w:pPr>
        <w:spacing w:before="0" w:after="200"/>
        <w:ind w:right="270"/>
        <w:rPr>
          <w:szCs w:val="20"/>
        </w:rPr>
      </w:pPr>
      <w:r w:rsidRPr="006E44BA">
        <w:rPr>
          <w:szCs w:val="20"/>
        </w:rPr>
        <w:t xml:space="preserve">The new standard introduces additional pathways for applicants to demonstrate evidence of their English language skills. </w:t>
      </w:r>
    </w:p>
    <w:p w:rsidR="0064226A" w:rsidRPr="006E44BA" w:rsidRDefault="0064226A" w:rsidP="003A4E0E">
      <w:pPr>
        <w:spacing w:before="0" w:after="200"/>
        <w:ind w:right="270"/>
        <w:rPr>
          <w:szCs w:val="20"/>
        </w:rPr>
      </w:pPr>
      <w:r w:rsidRPr="006E44BA">
        <w:rPr>
          <w:szCs w:val="20"/>
        </w:rPr>
        <w:t>The new standard was developed after a review of the existing standard, which included a public consultation. All Boards</w:t>
      </w:r>
      <w:r>
        <w:rPr>
          <w:szCs w:val="20"/>
        </w:rPr>
        <w:t>,</w:t>
      </w:r>
      <w:r w:rsidRPr="006E44BA">
        <w:rPr>
          <w:szCs w:val="20"/>
        </w:rPr>
        <w:t xml:space="preserve"> except the Aboriginal and Torres Strait Islander Health Practice Board of Australia</w:t>
      </w:r>
      <w:r>
        <w:rPr>
          <w:szCs w:val="20"/>
        </w:rPr>
        <w:t>,</w:t>
      </w:r>
      <w:r w:rsidRPr="006E44BA">
        <w:rPr>
          <w:szCs w:val="20"/>
        </w:rPr>
        <w:t xml:space="preserve"> consulted on and revised their English languages skills </w:t>
      </w:r>
      <w:r w:rsidR="00C84AE0">
        <w:rPr>
          <w:szCs w:val="20"/>
        </w:rPr>
        <w:t xml:space="preserve">registration </w:t>
      </w:r>
      <w:r w:rsidRPr="006E44BA">
        <w:rPr>
          <w:szCs w:val="20"/>
        </w:rPr>
        <w:t xml:space="preserve">standard. The </w:t>
      </w:r>
      <w:r w:rsidR="003A4E0E">
        <w:rPr>
          <w:szCs w:val="20"/>
        </w:rPr>
        <w:t xml:space="preserve">registration </w:t>
      </w:r>
      <w:r w:rsidRPr="006E44BA">
        <w:rPr>
          <w:szCs w:val="20"/>
        </w:rPr>
        <w:t xml:space="preserve">standards are now largely common across professions. </w:t>
      </w:r>
    </w:p>
    <w:p w:rsidR="0064226A" w:rsidRDefault="0064226A">
      <w:pPr>
        <w:pStyle w:val="AHPRASubhead"/>
        <w:rPr>
          <w:rFonts w:cs="Arial"/>
          <w:color w:val="444444"/>
          <w:szCs w:val="20"/>
        </w:rPr>
      </w:pPr>
      <w:r w:rsidRPr="0064226A">
        <w:rPr>
          <w:rFonts w:cs="Arial"/>
          <w:b w:val="0"/>
          <w:color w:val="0D0D0D" w:themeColor="text1" w:themeTint="F2"/>
          <w:szCs w:val="20"/>
        </w:rPr>
        <w:t xml:space="preserve">The registration standard and supporting information are published on </w:t>
      </w:r>
      <w:hyperlink r:id="rId13" w:history="1">
        <w:r w:rsidRPr="003A4E0E">
          <w:rPr>
            <w:rStyle w:val="Hyperlink"/>
            <w:rFonts w:cs="Arial"/>
            <w:b w:val="0"/>
            <w:szCs w:val="20"/>
          </w:rPr>
          <w:t>AHPRA’s website</w:t>
        </w:r>
      </w:hyperlink>
      <w:r>
        <w:rPr>
          <w:rFonts w:cs="Arial"/>
          <w:color w:val="444444"/>
          <w:szCs w:val="20"/>
        </w:rPr>
        <w:t>.</w:t>
      </w:r>
    </w:p>
    <w:p w:rsidR="004C63AF" w:rsidRPr="003D062D" w:rsidRDefault="004C63AF">
      <w:pPr>
        <w:pStyle w:val="AHPRASubhead"/>
      </w:pPr>
      <w:r w:rsidRPr="009474F9">
        <w:t>Updating contact details</w:t>
      </w:r>
    </w:p>
    <w:p w:rsidR="004C63AF" w:rsidRPr="00BA70BF" w:rsidRDefault="004C63AF">
      <w:pPr>
        <w:pStyle w:val="AHPRAbody"/>
      </w:pPr>
      <w:r w:rsidRPr="00BA70BF">
        <w:t xml:space="preserve">To check </w:t>
      </w:r>
      <w:r>
        <w:t xml:space="preserve">or update </w:t>
      </w:r>
      <w:r w:rsidRPr="00BA70BF">
        <w:t>your contact details, go to the</w:t>
      </w:r>
      <w:r>
        <w:t xml:space="preserve"> online services panel for practitioners on the homepage of the Board’s website and click on the relevant link. Enter your user ID, date of birth and password to access your account. Please note that y</w:t>
      </w:r>
      <w:r w:rsidRPr="00BA70BF">
        <w:t xml:space="preserve">our </w:t>
      </w:r>
      <w:r>
        <w:t>u</w:t>
      </w:r>
      <w:r w:rsidRPr="00BA70BF">
        <w:t xml:space="preserve">ser ID is not your registration number. </w:t>
      </w:r>
      <w:r>
        <w:t xml:space="preserve">If you cannot remember your user ID or password, contact us </w:t>
      </w:r>
      <w:hyperlink r:id="rId14" w:history="1">
        <w:r w:rsidRPr="00B47BC0">
          <w:rPr>
            <w:rStyle w:val="Hyperlink"/>
          </w:rPr>
          <w:t>online</w:t>
        </w:r>
      </w:hyperlink>
      <w:r>
        <w:t xml:space="preserve"> or call </w:t>
      </w:r>
      <w:r w:rsidRPr="00BA70BF">
        <w:t>1300 419 495.</w:t>
      </w:r>
    </w:p>
    <w:p w:rsidR="004C63AF" w:rsidRPr="001D6D83" w:rsidRDefault="004C63AF" w:rsidP="004C63AF">
      <w:pPr>
        <w:pStyle w:val="AHPRASubhead"/>
      </w:pPr>
      <w:r w:rsidRPr="001D6D83">
        <w:t xml:space="preserve">Follow @AHPRA on Twitter </w:t>
      </w:r>
    </w:p>
    <w:p w:rsidR="004C63AF" w:rsidRPr="001D6D83" w:rsidRDefault="004C63AF" w:rsidP="004C63AF">
      <w:pPr>
        <w:pStyle w:val="AHPRAbody"/>
      </w:pPr>
      <w:r>
        <w:t xml:space="preserve">AHPRA uses </w:t>
      </w:r>
      <w:hyperlink r:id="rId15" w:history="1">
        <w:r w:rsidRPr="00B47BC0">
          <w:rPr>
            <w:rStyle w:val="Hyperlink"/>
          </w:rPr>
          <w:t>Twitter</w:t>
        </w:r>
      </w:hyperlink>
      <w:r w:rsidRPr="001D6D83">
        <w:t xml:space="preserve"> to </w:t>
      </w:r>
      <w:r>
        <w:t xml:space="preserve">encourage greater discussion about </w:t>
      </w:r>
      <w:r w:rsidRPr="001D6D83">
        <w:t>National Board consultations</w:t>
      </w:r>
      <w:r>
        <w:t xml:space="preserve"> and to host regular</w:t>
      </w:r>
      <w:r w:rsidRPr="001D6D83">
        <w:t xml:space="preserve"> </w:t>
      </w:r>
      <w:r>
        <w:t xml:space="preserve">Twitter </w:t>
      </w:r>
      <w:r w:rsidRPr="001D6D83">
        <w:t xml:space="preserve">chats </w:t>
      </w:r>
      <w:r>
        <w:t>on</w:t>
      </w:r>
      <w:r w:rsidRPr="001D6D83">
        <w:t xml:space="preserve"> important topics</w:t>
      </w:r>
      <w:r>
        <w:t>.</w:t>
      </w:r>
      <w:r w:rsidRPr="001D6D83">
        <w:t xml:space="preserve"> </w:t>
      </w:r>
    </w:p>
    <w:p w:rsidR="00984E15" w:rsidRPr="00984E15" w:rsidRDefault="00984E15" w:rsidP="00984E15">
      <w:pPr>
        <w:pStyle w:val="AHPRASubhead"/>
      </w:pPr>
      <w:r w:rsidRPr="00984E15">
        <w:t>Keeping in touch with the Board</w:t>
      </w:r>
    </w:p>
    <w:p w:rsidR="00984E15" w:rsidRDefault="00984E15" w:rsidP="00984E15">
      <w:pPr>
        <w:pStyle w:val="AHPRAbody"/>
      </w:pPr>
      <w:r>
        <w:t xml:space="preserve">The Board publishes a range of information about registration and the Board’s expectations of practitioners on its website at </w:t>
      </w:r>
      <w:hyperlink r:id="rId16" w:history="1">
        <w:r w:rsidRPr="00660816">
          <w:rPr>
            <w:rStyle w:val="Hyperlink"/>
            <w:rFonts w:cs="Arial"/>
            <w:szCs w:val="20"/>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D2159" w:rsidRDefault="00ED2159" w:rsidP="00984E15">
      <w:pPr>
        <w:rPr>
          <w:szCs w:val="20"/>
          <w:lang w:val="en-US"/>
        </w:rPr>
      </w:pPr>
    </w:p>
    <w:p w:rsidR="004C63AF" w:rsidRDefault="00984E15">
      <w:pPr>
        <w:spacing w:after="0"/>
        <w:rPr>
          <w:szCs w:val="20"/>
          <w:lang w:val="en-US"/>
        </w:rPr>
      </w:pPr>
      <w:r w:rsidRPr="00AE3701">
        <w:rPr>
          <w:szCs w:val="20"/>
          <w:lang w:val="en-US"/>
        </w:rPr>
        <w:t xml:space="preserve">Dr </w:t>
      </w:r>
      <w:r>
        <w:rPr>
          <w:szCs w:val="20"/>
          <w:lang w:val="en-US"/>
        </w:rPr>
        <w:t>Nikole Grbin (Osteopath)</w:t>
      </w:r>
    </w:p>
    <w:p w:rsidR="003B5E14" w:rsidRDefault="00984E15">
      <w:pPr>
        <w:spacing w:after="0"/>
        <w:rPr>
          <w:color w:val="0070C0"/>
          <w:szCs w:val="20"/>
          <w:lang w:val="en-US"/>
        </w:rPr>
      </w:pPr>
      <w:r w:rsidRPr="007D493A">
        <w:rPr>
          <w:color w:val="0070C0"/>
          <w:szCs w:val="20"/>
          <w:lang w:val="en-US"/>
        </w:rPr>
        <w:t>Chair</w:t>
      </w:r>
    </w:p>
    <w:p w:rsidR="00984E15" w:rsidRPr="00984E15" w:rsidRDefault="002169EA" w:rsidP="00984E15">
      <w:r>
        <w:rPr>
          <w:color w:val="0070C0"/>
          <w:szCs w:val="20"/>
          <w:lang w:val="en-US"/>
        </w:rPr>
        <w:t>Osteopathy Board of Australia</w:t>
      </w:r>
      <w:r w:rsidR="00984E15">
        <w:rPr>
          <w:color w:val="0070C0"/>
          <w:szCs w:val="20"/>
          <w:lang w:val="en-US"/>
        </w:rPr>
        <w:br/>
      </w:r>
      <w:r w:rsidR="003A4E0E">
        <w:rPr>
          <w:szCs w:val="20"/>
          <w:lang w:val="en-US"/>
        </w:rPr>
        <w:t>12</w:t>
      </w:r>
      <w:r w:rsidR="004C63AF">
        <w:rPr>
          <w:szCs w:val="20"/>
          <w:lang w:val="en-US"/>
        </w:rPr>
        <w:t xml:space="preserve"> June</w:t>
      </w:r>
      <w:r w:rsidR="00984E15">
        <w:rPr>
          <w:szCs w:val="20"/>
        </w:rPr>
        <w:t xml:space="preserve"> 2015</w:t>
      </w:r>
    </w:p>
    <w:sectPr w:rsidR="00984E15" w:rsidRPr="00984E15" w:rsidSect="004B438E">
      <w:headerReference w:type="default" r:id="rId17"/>
      <w:footerReference w:type="even" r:id="rId18"/>
      <w:footerReference w:type="default" r:id="rId19"/>
      <w:headerReference w:type="first" r:id="rId20"/>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97" w:rsidRDefault="00B50797" w:rsidP="008A56B3">
      <w:r>
        <w:separator/>
      </w:r>
    </w:p>
    <w:p w:rsidR="00B50797" w:rsidRDefault="00B50797" w:rsidP="008A56B3"/>
  </w:endnote>
  <w:endnote w:type="continuationSeparator" w:id="0">
    <w:p w:rsidR="00B50797" w:rsidRDefault="00B50797" w:rsidP="008A56B3">
      <w:r>
        <w:continuationSeparator/>
      </w:r>
    </w:p>
    <w:p w:rsidR="00B50797" w:rsidRDefault="00B50797"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Default="00F76B61" w:rsidP="008A56B3">
    <w:pPr>
      <w:pStyle w:val="AHPRAfootnote"/>
    </w:pPr>
    <w:r>
      <w:fldChar w:fldCharType="begin"/>
    </w:r>
    <w:r w:rsidR="004671AD">
      <w:instrText xml:space="preserve">PAGE  </w:instrText>
    </w:r>
    <w:r>
      <w:fldChar w:fldCharType="end"/>
    </w:r>
  </w:p>
  <w:p w:rsidR="004671AD" w:rsidRDefault="004671AD" w:rsidP="008A56B3">
    <w:pPr>
      <w:pStyle w:val="AHPRAfootnote"/>
    </w:pPr>
  </w:p>
  <w:p w:rsidR="004671AD" w:rsidRDefault="004671AD"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Pr="000E7E28" w:rsidRDefault="00190D43" w:rsidP="007840D7">
    <w:pPr>
      <w:pStyle w:val="AHPRApagenumber"/>
      <w:tabs>
        <w:tab w:val="center" w:pos="4536"/>
        <w:tab w:val="right" w:pos="9356"/>
      </w:tabs>
      <w:ind w:right="-233"/>
      <w:jc w:val="left"/>
    </w:pPr>
    <w:r>
      <w:fldChar w:fldCharType="begin"/>
    </w:r>
    <w:r>
      <w:instrText xml:space="preserve"> STYLEREF "AHPRA Document title" \* MERGEFORMAT </w:instrText>
    </w:r>
    <w:r>
      <w:fldChar w:fldCharType="separate"/>
    </w:r>
    <w:r>
      <w:rPr>
        <w:noProof/>
      </w:rPr>
      <w:t>Communiqué</w:t>
    </w:r>
    <w:r>
      <w:rPr>
        <w:noProof/>
      </w:rPr>
      <w:fldChar w:fldCharType="end"/>
    </w:r>
    <w:r w:rsidR="004671AD">
      <w:t xml:space="preserve"> / </w:t>
    </w:r>
    <w:r w:rsidR="00B50797">
      <w:fldChar w:fldCharType="begin"/>
    </w:r>
    <w:r w:rsidR="00B50797">
      <w:instrText xml:space="preserve"> DATE \@ "d MMMM y" \* MERGEFORMAT </w:instrText>
    </w:r>
    <w:r w:rsidR="00B50797">
      <w:fldChar w:fldCharType="separate"/>
    </w:r>
    <w:r>
      <w:rPr>
        <w:noProof/>
      </w:rPr>
      <w:t>15 June 15</w:t>
    </w:r>
    <w:r w:rsidR="00B50797">
      <w:rPr>
        <w:noProof/>
      </w:rPr>
      <w:fldChar w:fldCharType="end"/>
    </w:r>
    <w:sdt>
      <w:sdtPr>
        <w:id w:val="16333165"/>
        <w:docPartObj>
          <w:docPartGallery w:val="Page Numbers (Top of Page)"/>
          <w:docPartUnique/>
        </w:docPartObj>
      </w:sdtPr>
      <w:sdtEndPr/>
      <w:sdtContent>
        <w:r w:rsidR="004671AD">
          <w:tab/>
        </w:r>
        <w:r w:rsidR="004671AD">
          <w:tab/>
        </w:r>
        <w:r w:rsidR="004671AD" w:rsidRPr="000E7E28">
          <w:t xml:space="preserve">Page </w:t>
        </w:r>
        <w:r w:rsidR="00B50797">
          <w:fldChar w:fldCharType="begin"/>
        </w:r>
        <w:r w:rsidR="00B50797">
          <w:instrText xml:space="preserve"> PAGE </w:instrText>
        </w:r>
        <w:r w:rsidR="00B50797">
          <w:fldChar w:fldCharType="separate"/>
        </w:r>
        <w:r>
          <w:rPr>
            <w:noProof/>
          </w:rPr>
          <w:t>2</w:t>
        </w:r>
        <w:r w:rsidR="00B50797">
          <w:rPr>
            <w:noProof/>
          </w:rPr>
          <w:fldChar w:fldCharType="end"/>
        </w:r>
        <w:r w:rsidR="004671AD" w:rsidRPr="000E7E28">
          <w:t xml:space="preserve"> of </w:t>
        </w:r>
        <w:r w:rsidR="00B50797">
          <w:fldChar w:fldCharType="begin"/>
        </w:r>
        <w:r w:rsidR="00B50797">
          <w:instrText xml:space="preserve"> NUMPAGES  </w:instrText>
        </w:r>
        <w:r w:rsidR="00B50797">
          <w:fldChar w:fldCharType="separate"/>
        </w:r>
        <w:r>
          <w:rPr>
            <w:noProof/>
          </w:rPr>
          <w:t>2</w:t>
        </w:r>
        <w:r w:rsidR="00B5079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97" w:rsidRDefault="00B50797" w:rsidP="008A56B3">
      <w:r>
        <w:separator/>
      </w:r>
    </w:p>
  </w:footnote>
  <w:footnote w:type="continuationSeparator" w:id="0">
    <w:p w:rsidR="00B50797" w:rsidRDefault="00B50797" w:rsidP="008A56B3">
      <w:r>
        <w:continuationSeparator/>
      </w:r>
    </w:p>
    <w:p w:rsidR="00B50797" w:rsidRDefault="00B50797" w:rsidP="008A56B3"/>
  </w:footnote>
  <w:footnote w:type="continuationNotice" w:id="1">
    <w:p w:rsidR="00B50797" w:rsidRDefault="00B50797"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Pr="00315933" w:rsidRDefault="004671AD" w:rsidP="008A56B3"/>
  <w:p w:rsidR="004671AD" w:rsidRDefault="004671AD"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AD" w:rsidRDefault="004671AD"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12700" b="0"/>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4671AD" w:rsidRDefault="004671AD" w:rsidP="008A56B3"/>
  <w:p w:rsidR="004671AD" w:rsidRDefault="004671AD" w:rsidP="008A56B3"/>
  <w:p w:rsidR="004671AD" w:rsidRDefault="004671AD" w:rsidP="008A56B3"/>
  <w:p w:rsidR="004671AD" w:rsidRDefault="004671AD" w:rsidP="008A56B3"/>
  <w:p w:rsidR="004671AD" w:rsidRDefault="004671AD"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89C"/>
    <w:multiLevelType w:val="hybridMultilevel"/>
    <w:tmpl w:val="56B4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80D"/>
    <w:multiLevelType w:val="hybridMultilevel"/>
    <w:tmpl w:val="13A4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62734"/>
    <w:multiLevelType w:val="hybridMultilevel"/>
    <w:tmpl w:val="810A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B17D6"/>
    <w:multiLevelType w:val="multilevel"/>
    <w:tmpl w:val="C4183F12"/>
    <w:numStyleLink w:val="AHPRANumberedlist"/>
  </w:abstractNum>
  <w:abstractNum w:abstractNumId="5"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6"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D193D64"/>
    <w:multiLevelType w:val="hybridMultilevel"/>
    <w:tmpl w:val="A888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D3EC6"/>
    <w:multiLevelType w:val="hybridMultilevel"/>
    <w:tmpl w:val="CC7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D42B8"/>
    <w:multiLevelType w:val="hybridMultilevel"/>
    <w:tmpl w:val="BCA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D19FF"/>
    <w:multiLevelType w:val="multilevel"/>
    <w:tmpl w:val="BE20683A"/>
    <w:numStyleLink w:val="AHPRANumberedheadinglist"/>
  </w:abstractNum>
  <w:abstractNum w:abstractNumId="12" w15:restartNumberingAfterBreak="0">
    <w:nsid w:val="15714E62"/>
    <w:multiLevelType w:val="hybridMultilevel"/>
    <w:tmpl w:val="B0B0F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D84F9D"/>
    <w:multiLevelType w:val="hybridMultilevel"/>
    <w:tmpl w:val="EDA21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73E2C"/>
    <w:multiLevelType w:val="hybridMultilevel"/>
    <w:tmpl w:val="DBD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3EC"/>
    <w:multiLevelType w:val="hybridMultilevel"/>
    <w:tmpl w:val="F7D0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2C417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416A0"/>
    <w:multiLevelType w:val="hybridMultilevel"/>
    <w:tmpl w:val="6652B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3D5E99"/>
    <w:multiLevelType w:val="hybridMultilevel"/>
    <w:tmpl w:val="C5B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54A25"/>
    <w:multiLevelType w:val="hybridMultilevel"/>
    <w:tmpl w:val="795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2578D"/>
    <w:multiLevelType w:val="multilevel"/>
    <w:tmpl w:val="BE20683A"/>
    <w:numStyleLink w:val="AHPRANumberedheadinglist"/>
  </w:abstractNum>
  <w:abstractNum w:abstractNumId="20" w15:restartNumberingAfterBreak="0">
    <w:nsid w:val="286A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1F4DC4"/>
    <w:multiLevelType w:val="hybridMultilevel"/>
    <w:tmpl w:val="3B1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A74E5"/>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B585523"/>
    <w:multiLevelType w:val="hybridMultilevel"/>
    <w:tmpl w:val="E29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B3714"/>
    <w:multiLevelType w:val="multilevel"/>
    <w:tmpl w:val="C4183F12"/>
    <w:numStyleLink w:val="AHPRANumberedlist"/>
  </w:abstractNum>
  <w:abstractNum w:abstractNumId="26" w15:restartNumberingAfterBreak="0">
    <w:nsid w:val="3E963C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24143C"/>
    <w:multiLevelType w:val="hybridMultilevel"/>
    <w:tmpl w:val="CCDA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252EB"/>
    <w:multiLevelType w:val="multilevel"/>
    <w:tmpl w:val="A0B845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A3ABE"/>
    <w:multiLevelType w:val="hybridMultilevel"/>
    <w:tmpl w:val="B3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37982"/>
    <w:multiLevelType w:val="hybridMultilevel"/>
    <w:tmpl w:val="75FC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4433A"/>
    <w:multiLevelType w:val="multilevel"/>
    <w:tmpl w:val="C4183F12"/>
    <w:numStyleLink w:val="AHPRANumberedlist"/>
  </w:abstractNum>
  <w:abstractNum w:abstractNumId="33" w15:restartNumberingAfterBreak="0">
    <w:nsid w:val="518E0391"/>
    <w:multiLevelType w:val="hybridMultilevel"/>
    <w:tmpl w:val="F92A7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0840D8"/>
    <w:multiLevelType w:val="hybridMultilevel"/>
    <w:tmpl w:val="BD6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B7666"/>
    <w:multiLevelType w:val="hybridMultilevel"/>
    <w:tmpl w:val="F18AC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B5D93"/>
    <w:multiLevelType w:val="multilevel"/>
    <w:tmpl w:val="3232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B156F1"/>
    <w:multiLevelType w:val="hybridMultilevel"/>
    <w:tmpl w:val="6C8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8E73C72"/>
    <w:multiLevelType w:val="hybridMultilevel"/>
    <w:tmpl w:val="2346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C55E0"/>
    <w:multiLevelType w:val="hybridMultilevel"/>
    <w:tmpl w:val="C96835DA"/>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E154B0"/>
    <w:multiLevelType w:val="multilevel"/>
    <w:tmpl w:val="C4183F12"/>
    <w:numStyleLink w:val="AHPRANumberedlist"/>
  </w:abstractNum>
  <w:abstractNum w:abstractNumId="42" w15:restartNumberingAfterBreak="0">
    <w:nsid w:val="7AE57532"/>
    <w:multiLevelType w:val="hybridMultilevel"/>
    <w:tmpl w:val="8B6C1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2610BB"/>
    <w:multiLevelType w:val="hybridMultilevel"/>
    <w:tmpl w:val="FF68D3A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abstractNum w:abstractNumId="45" w15:restartNumberingAfterBreak="0">
    <w:nsid w:val="7F6A57DC"/>
    <w:multiLevelType w:val="hybridMultilevel"/>
    <w:tmpl w:val="505A0D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0"/>
  </w:num>
  <w:num w:numId="2">
    <w:abstractNumId w:val="29"/>
  </w:num>
  <w:num w:numId="3">
    <w:abstractNumId w:val="5"/>
  </w:num>
  <w:num w:numId="4">
    <w:abstractNumId w:val="7"/>
  </w:num>
  <w:num w:numId="5">
    <w:abstractNumId w:val="11"/>
  </w:num>
  <w:num w:numId="6">
    <w:abstractNumId w:val="19"/>
  </w:num>
  <w:num w:numId="7">
    <w:abstractNumId w:val="4"/>
  </w:num>
  <w:num w:numId="8">
    <w:abstractNumId w:val="22"/>
  </w:num>
  <w:num w:numId="9">
    <w:abstractNumId w:val="43"/>
  </w:num>
  <w:num w:numId="10">
    <w:abstractNumId w:val="32"/>
  </w:num>
  <w:num w:numId="11">
    <w:abstractNumId w:val="6"/>
  </w:num>
  <w:num w:numId="12">
    <w:abstractNumId w:val="41"/>
  </w:num>
  <w:num w:numId="13">
    <w:abstractNumId w:val="44"/>
  </w:num>
  <w:num w:numId="14">
    <w:abstractNumId w:val="27"/>
  </w:num>
  <w:num w:numId="15">
    <w:abstractNumId w:val="35"/>
  </w:num>
  <w:num w:numId="16">
    <w:abstractNumId w:val="16"/>
  </w:num>
  <w:num w:numId="17">
    <w:abstractNumId w:val="2"/>
  </w:num>
  <w:num w:numId="18">
    <w:abstractNumId w:val="13"/>
  </w:num>
  <w:num w:numId="19">
    <w:abstractNumId w:val="15"/>
  </w:num>
  <w:num w:numId="20">
    <w:abstractNumId w:val="30"/>
  </w:num>
  <w:num w:numId="21">
    <w:abstractNumId w:val="8"/>
  </w:num>
  <w:num w:numId="22">
    <w:abstractNumId w:val="31"/>
  </w:num>
  <w:num w:numId="23">
    <w:abstractNumId w:val="34"/>
  </w:num>
  <w:num w:numId="24">
    <w:abstractNumId w:val="12"/>
  </w:num>
  <w:num w:numId="25">
    <w:abstractNumId w:val="42"/>
  </w:num>
  <w:num w:numId="26">
    <w:abstractNumId w:val="0"/>
  </w:num>
  <w:num w:numId="27">
    <w:abstractNumId w:val="33"/>
  </w:num>
  <w:num w:numId="28">
    <w:abstractNumId w:val="39"/>
  </w:num>
  <w:num w:numId="29">
    <w:abstractNumId w:val="14"/>
  </w:num>
  <w:num w:numId="30">
    <w:abstractNumId w:val="10"/>
  </w:num>
  <w:num w:numId="31">
    <w:abstractNumId w:val="9"/>
  </w:num>
  <w:num w:numId="32">
    <w:abstractNumId w:val="37"/>
  </w:num>
  <w:num w:numId="33">
    <w:abstractNumId w:val="17"/>
  </w:num>
  <w:num w:numId="34">
    <w:abstractNumId w:val="21"/>
  </w:num>
  <w:num w:numId="35">
    <w:abstractNumId w:val="1"/>
  </w:num>
  <w:num w:numId="36">
    <w:abstractNumId w:val="18"/>
  </w:num>
  <w:num w:numId="37">
    <w:abstractNumId w:val="24"/>
  </w:num>
  <w:num w:numId="38">
    <w:abstractNumId w:val="26"/>
  </w:num>
  <w:num w:numId="39">
    <w:abstractNumId w:val="23"/>
  </w:num>
  <w:num w:numId="40">
    <w:abstractNumId w:val="28"/>
  </w:num>
  <w:num w:numId="41">
    <w:abstractNumId w:val="20"/>
  </w:num>
  <w:num w:numId="42">
    <w:abstractNumId w:val="25"/>
  </w:num>
  <w:num w:numId="4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15"/>
    <w:rsid w:val="00000033"/>
    <w:rsid w:val="00006922"/>
    <w:rsid w:val="00023904"/>
    <w:rsid w:val="000334D7"/>
    <w:rsid w:val="00052BF3"/>
    <w:rsid w:val="00061983"/>
    <w:rsid w:val="00071439"/>
    <w:rsid w:val="000945FB"/>
    <w:rsid w:val="000A6BF7"/>
    <w:rsid w:val="000E29C2"/>
    <w:rsid w:val="000E6D3A"/>
    <w:rsid w:val="000E7E28"/>
    <w:rsid w:val="000F5D90"/>
    <w:rsid w:val="0010139F"/>
    <w:rsid w:val="0011487C"/>
    <w:rsid w:val="00144DEF"/>
    <w:rsid w:val="00146F33"/>
    <w:rsid w:val="001506FE"/>
    <w:rsid w:val="00162C6D"/>
    <w:rsid w:val="00190D43"/>
    <w:rsid w:val="00196F14"/>
    <w:rsid w:val="001C425C"/>
    <w:rsid w:val="001C5EAE"/>
    <w:rsid w:val="001D01AA"/>
    <w:rsid w:val="001E1E31"/>
    <w:rsid w:val="001E2849"/>
    <w:rsid w:val="001E4A94"/>
    <w:rsid w:val="001E5621"/>
    <w:rsid w:val="002169EA"/>
    <w:rsid w:val="00220A3B"/>
    <w:rsid w:val="00224708"/>
    <w:rsid w:val="0022736D"/>
    <w:rsid w:val="0028013F"/>
    <w:rsid w:val="00295B44"/>
    <w:rsid w:val="002B2D48"/>
    <w:rsid w:val="002C08FB"/>
    <w:rsid w:val="002C34EA"/>
    <w:rsid w:val="002D599C"/>
    <w:rsid w:val="00301BC0"/>
    <w:rsid w:val="00303BE1"/>
    <w:rsid w:val="00305AFC"/>
    <w:rsid w:val="003354E4"/>
    <w:rsid w:val="00393516"/>
    <w:rsid w:val="003A4E0E"/>
    <w:rsid w:val="003B5E14"/>
    <w:rsid w:val="003D0B3C"/>
    <w:rsid w:val="003D6DBD"/>
    <w:rsid w:val="003E00B5"/>
    <w:rsid w:val="003E3268"/>
    <w:rsid w:val="003E6BB2"/>
    <w:rsid w:val="003F2F06"/>
    <w:rsid w:val="003F714C"/>
    <w:rsid w:val="00405C0A"/>
    <w:rsid w:val="00414AF0"/>
    <w:rsid w:val="00414F2C"/>
    <w:rsid w:val="00450B34"/>
    <w:rsid w:val="004606A7"/>
    <w:rsid w:val="00462F0F"/>
    <w:rsid w:val="004671AD"/>
    <w:rsid w:val="004A5E5D"/>
    <w:rsid w:val="004B438E"/>
    <w:rsid w:val="004B747B"/>
    <w:rsid w:val="004C63AF"/>
    <w:rsid w:val="004D7537"/>
    <w:rsid w:val="004F5C05"/>
    <w:rsid w:val="00516EF2"/>
    <w:rsid w:val="00530BFF"/>
    <w:rsid w:val="0053749F"/>
    <w:rsid w:val="00546B56"/>
    <w:rsid w:val="005518A4"/>
    <w:rsid w:val="00553A4C"/>
    <w:rsid w:val="00554335"/>
    <w:rsid w:val="005565CE"/>
    <w:rsid w:val="00565BBC"/>
    <w:rsid w:val="005708AE"/>
    <w:rsid w:val="005826C0"/>
    <w:rsid w:val="00586F30"/>
    <w:rsid w:val="005A0FA9"/>
    <w:rsid w:val="005C5932"/>
    <w:rsid w:val="005C6817"/>
    <w:rsid w:val="005E0245"/>
    <w:rsid w:val="005F393C"/>
    <w:rsid w:val="00616043"/>
    <w:rsid w:val="00622247"/>
    <w:rsid w:val="00622692"/>
    <w:rsid w:val="00640B2C"/>
    <w:rsid w:val="0064226A"/>
    <w:rsid w:val="00652069"/>
    <w:rsid w:val="006600F0"/>
    <w:rsid w:val="00667CAD"/>
    <w:rsid w:val="00670F48"/>
    <w:rsid w:val="00672A98"/>
    <w:rsid w:val="00681D5E"/>
    <w:rsid w:val="006870F9"/>
    <w:rsid w:val="006C0257"/>
    <w:rsid w:val="006C0E29"/>
    <w:rsid w:val="006D30FE"/>
    <w:rsid w:val="006D3757"/>
    <w:rsid w:val="006D45FD"/>
    <w:rsid w:val="006D6D35"/>
    <w:rsid w:val="006F585B"/>
    <w:rsid w:val="006F7348"/>
    <w:rsid w:val="006F796D"/>
    <w:rsid w:val="0070155F"/>
    <w:rsid w:val="007372A4"/>
    <w:rsid w:val="00741B04"/>
    <w:rsid w:val="00743DD2"/>
    <w:rsid w:val="00756249"/>
    <w:rsid w:val="0076115C"/>
    <w:rsid w:val="007664F3"/>
    <w:rsid w:val="007840D7"/>
    <w:rsid w:val="007907EC"/>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79D5"/>
    <w:rsid w:val="008A2A8D"/>
    <w:rsid w:val="008A4C3B"/>
    <w:rsid w:val="008A56B3"/>
    <w:rsid w:val="008B2AD7"/>
    <w:rsid w:val="008D6B7E"/>
    <w:rsid w:val="008D7845"/>
    <w:rsid w:val="008F0686"/>
    <w:rsid w:val="009031EA"/>
    <w:rsid w:val="009138F9"/>
    <w:rsid w:val="00923B23"/>
    <w:rsid w:val="009255BD"/>
    <w:rsid w:val="00937ED0"/>
    <w:rsid w:val="00952797"/>
    <w:rsid w:val="009777D3"/>
    <w:rsid w:val="00984E15"/>
    <w:rsid w:val="009859E6"/>
    <w:rsid w:val="009A0A5D"/>
    <w:rsid w:val="009A7957"/>
    <w:rsid w:val="009C6933"/>
    <w:rsid w:val="009E4D57"/>
    <w:rsid w:val="009F3F6B"/>
    <w:rsid w:val="00A04C7A"/>
    <w:rsid w:val="00A058E5"/>
    <w:rsid w:val="00A10C1A"/>
    <w:rsid w:val="00A10F51"/>
    <w:rsid w:val="00A2072E"/>
    <w:rsid w:val="00A237BB"/>
    <w:rsid w:val="00A41D89"/>
    <w:rsid w:val="00A44A9E"/>
    <w:rsid w:val="00A458ED"/>
    <w:rsid w:val="00A509AB"/>
    <w:rsid w:val="00A76BFC"/>
    <w:rsid w:val="00A82078"/>
    <w:rsid w:val="00A838C8"/>
    <w:rsid w:val="00A86D88"/>
    <w:rsid w:val="00A91C42"/>
    <w:rsid w:val="00A91ED9"/>
    <w:rsid w:val="00A9516B"/>
    <w:rsid w:val="00A9780A"/>
    <w:rsid w:val="00AA00AF"/>
    <w:rsid w:val="00AA2FC9"/>
    <w:rsid w:val="00AB283D"/>
    <w:rsid w:val="00AB3A62"/>
    <w:rsid w:val="00AD312E"/>
    <w:rsid w:val="00AE3EAF"/>
    <w:rsid w:val="00B024B0"/>
    <w:rsid w:val="00B104B9"/>
    <w:rsid w:val="00B14866"/>
    <w:rsid w:val="00B34EDA"/>
    <w:rsid w:val="00B465D2"/>
    <w:rsid w:val="00B50797"/>
    <w:rsid w:val="00B51748"/>
    <w:rsid w:val="00B57198"/>
    <w:rsid w:val="00B85023"/>
    <w:rsid w:val="00BA1216"/>
    <w:rsid w:val="00BA2456"/>
    <w:rsid w:val="00BA469B"/>
    <w:rsid w:val="00BB4A5B"/>
    <w:rsid w:val="00BF2534"/>
    <w:rsid w:val="00BF79DC"/>
    <w:rsid w:val="00C35DE1"/>
    <w:rsid w:val="00C3795C"/>
    <w:rsid w:val="00C524AA"/>
    <w:rsid w:val="00C54689"/>
    <w:rsid w:val="00C7035B"/>
    <w:rsid w:val="00C81B3A"/>
    <w:rsid w:val="00C84AE0"/>
    <w:rsid w:val="00C85A14"/>
    <w:rsid w:val="00CB6C08"/>
    <w:rsid w:val="00CD0DCA"/>
    <w:rsid w:val="00CE5855"/>
    <w:rsid w:val="00D12F61"/>
    <w:rsid w:val="00D201C6"/>
    <w:rsid w:val="00D476D0"/>
    <w:rsid w:val="00D544E0"/>
    <w:rsid w:val="00D638E0"/>
    <w:rsid w:val="00D65016"/>
    <w:rsid w:val="00D716BA"/>
    <w:rsid w:val="00D83C90"/>
    <w:rsid w:val="00D8404D"/>
    <w:rsid w:val="00D87C12"/>
    <w:rsid w:val="00DB191A"/>
    <w:rsid w:val="00DC2952"/>
    <w:rsid w:val="00DF1AB7"/>
    <w:rsid w:val="00E07C02"/>
    <w:rsid w:val="00E11540"/>
    <w:rsid w:val="00E12B06"/>
    <w:rsid w:val="00E15BF6"/>
    <w:rsid w:val="00E54005"/>
    <w:rsid w:val="00E71CB9"/>
    <w:rsid w:val="00E73698"/>
    <w:rsid w:val="00E77E23"/>
    <w:rsid w:val="00E8251C"/>
    <w:rsid w:val="00E844A0"/>
    <w:rsid w:val="00E862B8"/>
    <w:rsid w:val="00EA248E"/>
    <w:rsid w:val="00ED2159"/>
    <w:rsid w:val="00F13ED2"/>
    <w:rsid w:val="00F27ACB"/>
    <w:rsid w:val="00F3616F"/>
    <w:rsid w:val="00F40047"/>
    <w:rsid w:val="00F51506"/>
    <w:rsid w:val="00F6618F"/>
    <w:rsid w:val="00F70DD5"/>
    <w:rsid w:val="00F73165"/>
    <w:rsid w:val="00F76B61"/>
    <w:rsid w:val="00F90BCE"/>
    <w:rsid w:val="00FC2881"/>
    <w:rsid w:val="00FD7DB5"/>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6CD09AE-1124-4514-928E-5F6A6AE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11"/>
      </w:numPr>
    </w:pPr>
  </w:style>
  <w:style w:type="paragraph" w:styleId="Heading3">
    <w:name w:val="heading 3"/>
    <w:basedOn w:val="AHPRASubheadinglevel3"/>
    <w:next w:val="Normal"/>
    <w:link w:val="Heading3Char"/>
    <w:uiPriority w:val="9"/>
    <w:unhideWhenUsed/>
    <w:qFormat/>
    <w:rsid w:val="008A56B3"/>
    <w:pPr>
      <w:numPr>
        <w:ilvl w:val="2"/>
        <w:numId w:val="11"/>
      </w:numPr>
      <w:outlineLvl w:val="2"/>
    </w:pPr>
  </w:style>
  <w:style w:type="paragraph" w:styleId="Heading4">
    <w:name w:val="heading 4"/>
    <w:basedOn w:val="Normal"/>
    <w:next w:val="Normal"/>
    <w:link w:val="Heading4Char"/>
    <w:uiPriority w:val="9"/>
    <w:semiHidden/>
    <w:unhideWhenUsed/>
    <w:rsid w:val="008A56B3"/>
    <w:pPr>
      <w:keepNext/>
      <w:keepLines/>
      <w:numPr>
        <w:ilvl w:val="3"/>
        <w:numId w:val="1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11"/>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2"/>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11"/>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42"/>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43"/>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43"/>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46"/>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ildabuseroyalcommission.gov.au/" TargetMode="External"/><Relationship Id="rId13" Type="http://schemas.openxmlformats.org/officeDocument/2006/relationships/hyperlink" Target="http://www.ahpra.gov.au/News/2015-05-21-media-release-english-language.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News/2015-05-21-media-release-crim-history.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teopathyboar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Tips-for-using-the-public-register.aspx" TargetMode="External"/><Relationship Id="rId5" Type="http://schemas.openxmlformats.org/officeDocument/2006/relationships/webSettings" Target="webSettings.xml"/><Relationship Id="rId15" Type="http://schemas.openxmlformats.org/officeDocument/2006/relationships/hyperlink" Target="https://twitter.com/AHPRA" TargetMode="External"/><Relationship Id="rId10" Type="http://schemas.openxmlformats.org/officeDocument/2006/relationships/hyperlink" Target="http://www.ahpra.gov.au/Registration/Registers-of-Practitioner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steopathyboard.gov.au/About/Statistics.aspx" TargetMode="External"/><Relationship Id="rId14" Type="http://schemas.openxmlformats.org/officeDocument/2006/relationships/hyperlink" Target="https://www.ahpra.gov.au/About-AHPRA/Contact-Us/Make-an-Enquiry.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3BB1-8ED6-44B3-BC8B-119CD324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18 December 2014  meeting of the Osteopathy Board of Australia</vt:lpstr>
    </vt:vector>
  </TitlesOfParts>
  <Company>Johanna Villani Design</Company>
  <LinksUpToDate>false</LinksUpToDate>
  <CharactersWithSpaces>5823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- 29 May 2015</dc:title>
  <dc:subject>Communique</dc:subject>
  <dc:creator>Osteopathy Board</dc:creator>
  <cp:keywords>29 May 2015</cp:keywords>
  <cp:lastModifiedBy>Gareth Meade</cp:lastModifiedBy>
  <cp:revision>2</cp:revision>
  <cp:lastPrinted>2012-02-10T00:45:00Z</cp:lastPrinted>
  <dcterms:created xsi:type="dcterms:W3CDTF">2015-06-15T05:24:00Z</dcterms:created>
  <dcterms:modified xsi:type="dcterms:W3CDTF">2015-06-15T05:24:00Z</dcterms:modified>
</cp:coreProperties>
</file>