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7D7B6F" w:rsidP="00192714">
      <w:pPr>
        <w:pStyle w:val="AHPRADocumenttitle"/>
      </w:pPr>
      <w:r>
        <w:t xml:space="preserve">Public </w:t>
      </w:r>
      <w:r w:rsidR="00192714">
        <w:t xml:space="preserve">consultation </w:t>
      </w:r>
      <w:r w:rsidR="0058421F">
        <w:t>on draft registration standards</w:t>
      </w:r>
    </w:p>
    <w:p w:rsidR="00192714" w:rsidRPr="00554335" w:rsidRDefault="004763C9" w:rsidP="00192714">
      <w:pPr>
        <w:pStyle w:val="AHPRAHeadline"/>
        <w:outlineLvl w:val="0"/>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7D7B6F" w:rsidP="00192714">
      <w:pPr>
        <w:pStyle w:val="AHPRAbodytext"/>
      </w:pPr>
      <w:r>
        <w:t>April 2014</w:t>
      </w:r>
    </w:p>
    <w:p w:rsidR="00192714" w:rsidRPr="00AE0BFA" w:rsidRDefault="0058421F" w:rsidP="00192714">
      <w:pPr>
        <w:pStyle w:val="AHPRADocumentsubheading"/>
      </w:pPr>
      <w:bookmarkStart w:id="0" w:name="OLE_LINK1"/>
      <w:bookmarkStart w:id="1" w:name="OLE_LINK2"/>
      <w:r>
        <w:t xml:space="preserve">Responses to consultation questions </w:t>
      </w:r>
      <w:bookmarkEnd w:id="0"/>
      <w:bookmarkEnd w:id="1"/>
    </w:p>
    <w:p w:rsidR="007B3BE5" w:rsidRPr="008942B2" w:rsidRDefault="007B3BE5" w:rsidP="007B3BE5">
      <w:pPr>
        <w:pStyle w:val="AHPRAbody"/>
        <w:ind w:right="-306"/>
        <w:rPr>
          <w:b/>
          <w:color w:val="000000" w:themeColor="text1"/>
        </w:rPr>
      </w:pPr>
      <w:r w:rsidRPr="00DE4C79">
        <w:rPr>
          <w:b/>
        </w:rPr>
        <w:t xml:space="preserve">Please provide </w:t>
      </w:r>
      <w:r>
        <w:rPr>
          <w:b/>
        </w:rPr>
        <w:t xml:space="preserve">your </w:t>
      </w:r>
      <w:r w:rsidRPr="00DE4C79">
        <w:rPr>
          <w:b/>
        </w:rPr>
        <w:t xml:space="preserve">feedback </w:t>
      </w:r>
      <w:r>
        <w:rPr>
          <w:b/>
          <w:bCs/>
          <w:szCs w:val="20"/>
        </w:rPr>
        <w:t xml:space="preserve">as a word document (not PDF) </w:t>
      </w:r>
      <w:r w:rsidRPr="00EE6E15">
        <w:rPr>
          <w:b/>
        </w:rPr>
        <w:t>by</w:t>
      </w:r>
      <w:r w:rsidRPr="00DE4C79">
        <w:rPr>
          <w:b/>
        </w:rPr>
        <w:t xml:space="preserve"> email to</w:t>
      </w:r>
      <w:r>
        <w:rPr>
          <w:b/>
        </w:rPr>
        <w:t xml:space="preserve"> </w:t>
      </w:r>
      <w:hyperlink r:id="rId8" w:history="1">
        <w:r w:rsidR="00FE1F23" w:rsidRPr="00A9115C">
          <w:rPr>
            <w:rStyle w:val="Hyperlink"/>
            <w:b/>
            <w:szCs w:val="20"/>
          </w:rPr>
          <w:t>osteoboardconsultation@ahpra.gov.au</w:t>
        </w:r>
      </w:hyperlink>
      <w:r>
        <w:rPr>
          <w:b/>
        </w:rPr>
        <w:t xml:space="preserve"> </w:t>
      </w:r>
      <w:bookmarkStart w:id="2" w:name="_Toc320239872"/>
      <w:r>
        <w:rPr>
          <w:b/>
        </w:rPr>
        <w:t xml:space="preserve">by close of business on </w:t>
      </w:r>
      <w:r w:rsidR="007D7B6F">
        <w:rPr>
          <w:b/>
        </w:rPr>
        <w:t>30 June 2014</w:t>
      </w:r>
      <w:r>
        <w:rPr>
          <w:b/>
        </w:rPr>
        <w:t xml:space="preserve">. </w:t>
      </w:r>
    </w:p>
    <w:bookmarkEnd w:id="2"/>
    <w:p w:rsidR="00A43430" w:rsidRDefault="00A43430" w:rsidP="00E7034E">
      <w:pPr>
        <w:pStyle w:val="AHPRASubhead"/>
        <w:jc w:val="both"/>
      </w:pPr>
      <w:r w:rsidRPr="00E8412E">
        <w:t>Stakeholder Details</w:t>
      </w:r>
    </w:p>
    <w:p w:rsidR="001F63F8" w:rsidRDefault="001F63F8" w:rsidP="001F63F8">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w:t>
      </w:r>
      <w:r w:rsidR="00362447">
        <w:rPr>
          <w:rFonts w:ascii="Arial" w:hAnsi="Arial" w:cs="Arial"/>
          <w:i/>
          <w:color w:val="auto"/>
          <w:szCs w:val="20"/>
        </w:rPr>
        <w:t xml:space="preserve">include </w:t>
      </w:r>
      <w:r>
        <w:rPr>
          <w:rFonts w:ascii="Arial" w:hAnsi="Arial" w:cs="Arial"/>
          <w:i/>
          <w:color w:val="auto"/>
          <w:szCs w:val="20"/>
        </w:rPr>
        <w:t xml:space="preserve">background information about your organisation please provide this as a separate </w:t>
      </w:r>
      <w:r w:rsidR="007B3BE5">
        <w:rPr>
          <w:rFonts w:ascii="Arial" w:hAnsi="Arial" w:cs="Arial"/>
          <w:i/>
          <w:color w:val="auto"/>
          <w:szCs w:val="20"/>
        </w:rPr>
        <w:t xml:space="preserve">word </w:t>
      </w:r>
      <w:r>
        <w:rPr>
          <w:rFonts w:ascii="Arial" w:hAnsi="Arial" w:cs="Arial"/>
          <w:i/>
          <w:color w:val="auto"/>
          <w:szCs w:val="20"/>
        </w:rPr>
        <w:t>document</w:t>
      </w:r>
      <w:r w:rsidR="00B422F4">
        <w:rPr>
          <w:rFonts w:ascii="Arial" w:hAnsi="Arial" w:cs="Arial"/>
          <w:i/>
          <w:color w:val="auto"/>
          <w:szCs w:val="20"/>
        </w:rPr>
        <w:t xml:space="preserve"> (not PDF)</w:t>
      </w:r>
      <w:r>
        <w:rPr>
          <w:rFonts w:ascii="Arial" w:hAnsi="Arial" w:cs="Arial"/>
          <w:i/>
          <w:color w:val="auto"/>
          <w:szCs w:val="20"/>
        </w:rPr>
        <w:t xml:space="preserve">.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D367BB" w:rsidP="001F63F8">
            <w:pPr>
              <w:pStyle w:val="TableText"/>
              <w:keepNext w:val="0"/>
              <w:spacing w:before="0" w:after="0"/>
              <w:jc w:val="both"/>
              <w:rPr>
                <w:rFonts w:ascii="Arial" w:hAnsi="Arial" w:cs="Arial"/>
                <w:color w:val="auto"/>
                <w:szCs w:val="20"/>
              </w:rPr>
            </w:pPr>
            <w:r>
              <w:rPr>
                <w:rFonts w:ascii="Arial" w:hAnsi="Arial" w:cs="Arial"/>
                <w:color w:val="auto"/>
                <w:szCs w:val="20"/>
              </w:rPr>
              <w:t>The Chiropractic &amp; Osteopathic College of Australasia</w:t>
            </w:r>
            <w:bookmarkStart w:id="3" w:name="_GoBack"/>
            <w:bookmarkEnd w:id="3"/>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D367BB" w:rsidP="001F63F8">
            <w:pPr>
              <w:pStyle w:val="TableText"/>
              <w:keepNext w:val="0"/>
              <w:spacing w:before="0" w:after="0"/>
              <w:jc w:val="both"/>
              <w:rPr>
                <w:rFonts w:ascii="Arial" w:hAnsi="Arial" w:cs="Arial"/>
                <w:color w:val="auto"/>
                <w:szCs w:val="20"/>
              </w:rPr>
            </w:pPr>
            <w:r>
              <w:rPr>
                <w:rFonts w:ascii="Arial" w:hAnsi="Arial" w:cs="Arial"/>
                <w:color w:val="auto"/>
                <w:szCs w:val="20"/>
              </w:rPr>
              <w:t xml:space="preserve">Dr John W </w:t>
            </w:r>
            <w:proofErr w:type="spellStart"/>
            <w:r>
              <w:rPr>
                <w:rFonts w:ascii="Arial" w:hAnsi="Arial" w:cs="Arial"/>
                <w:color w:val="auto"/>
                <w:szCs w:val="20"/>
              </w:rPr>
              <w:t>Reggars</w:t>
            </w:r>
            <w:proofErr w:type="spellEnd"/>
            <w:r>
              <w:rPr>
                <w:rFonts w:ascii="Arial" w:hAnsi="Arial" w:cs="Arial"/>
                <w:color w:val="auto"/>
                <w:szCs w:val="20"/>
              </w:rPr>
              <w:t xml:space="preserve"> OAM, DC, </w:t>
            </w:r>
            <w:proofErr w:type="spellStart"/>
            <w:r>
              <w:rPr>
                <w:rFonts w:ascii="Arial" w:hAnsi="Arial" w:cs="Arial"/>
                <w:color w:val="auto"/>
                <w:szCs w:val="20"/>
              </w:rPr>
              <w:t>MChirosc</w:t>
            </w:r>
            <w:proofErr w:type="spellEnd"/>
            <w:r>
              <w:rPr>
                <w:rFonts w:ascii="Arial" w:hAnsi="Arial" w:cs="Arial"/>
                <w:color w:val="auto"/>
                <w:szCs w:val="20"/>
              </w:rPr>
              <w:t>.</w:t>
            </w:r>
          </w:p>
          <w:p w:rsidR="00D367BB" w:rsidRDefault="00D367BB" w:rsidP="001F63F8">
            <w:pPr>
              <w:pStyle w:val="TableText"/>
              <w:keepNext w:val="0"/>
              <w:spacing w:before="0" w:after="0"/>
              <w:jc w:val="both"/>
              <w:rPr>
                <w:rFonts w:ascii="Arial" w:hAnsi="Arial" w:cs="Arial"/>
                <w:color w:val="auto"/>
                <w:szCs w:val="20"/>
              </w:rPr>
            </w:pPr>
            <w:r>
              <w:rPr>
                <w:rFonts w:ascii="Arial" w:hAnsi="Arial" w:cs="Arial"/>
                <w:color w:val="auto"/>
                <w:szCs w:val="20"/>
              </w:rPr>
              <w:t>Chief Executive Officer</w:t>
            </w:r>
          </w:p>
          <w:p w:rsidR="00D367BB" w:rsidRDefault="00D367BB" w:rsidP="001F63F8">
            <w:pPr>
              <w:pStyle w:val="TableText"/>
              <w:keepNext w:val="0"/>
              <w:spacing w:before="0" w:after="0"/>
              <w:jc w:val="both"/>
              <w:rPr>
                <w:rFonts w:ascii="Arial" w:hAnsi="Arial" w:cs="Arial"/>
                <w:color w:val="auto"/>
                <w:szCs w:val="20"/>
              </w:rPr>
            </w:pPr>
            <w:r>
              <w:rPr>
                <w:rFonts w:ascii="Arial" w:hAnsi="Arial" w:cs="Arial"/>
                <w:color w:val="auto"/>
                <w:szCs w:val="20"/>
              </w:rPr>
              <w:t>reggars@chirofirst.com.au</w:t>
            </w:r>
          </w:p>
          <w:p w:rsidR="001F63F8" w:rsidRPr="00E8412E" w:rsidRDefault="001F63F8" w:rsidP="001F63F8">
            <w:pPr>
              <w:pStyle w:val="TableText"/>
              <w:keepNext w:val="0"/>
              <w:spacing w:before="0" w:after="0"/>
              <w:jc w:val="both"/>
              <w:rPr>
                <w:rFonts w:ascii="Arial" w:hAnsi="Arial" w:cs="Arial"/>
                <w:color w:val="auto"/>
                <w:szCs w:val="20"/>
              </w:rPr>
            </w:pPr>
          </w:p>
        </w:tc>
      </w:tr>
    </w:tbl>
    <w:p w:rsidR="001F63F8" w:rsidRPr="001F63F8" w:rsidRDefault="001F63F8" w:rsidP="00A43430">
      <w:pPr>
        <w:pStyle w:val="AHPRASubhead"/>
        <w:jc w:val="both"/>
        <w:rPr>
          <w:color w:val="auto"/>
        </w:rPr>
      </w:pPr>
    </w:p>
    <w:p w:rsidR="00A43430" w:rsidRDefault="00547923" w:rsidP="00A43430">
      <w:pPr>
        <w:pStyle w:val="AHPRASubhead"/>
        <w:jc w:val="both"/>
      </w:pPr>
      <w:r>
        <w:t>Your r</w:t>
      </w:r>
      <w:r w:rsidR="00A43430">
        <w:t xml:space="preserve">esponses to consultation questions </w:t>
      </w:r>
    </w:p>
    <w:tbl>
      <w:tblPr>
        <w:tblStyle w:val="TableGrid"/>
        <w:tblW w:w="4942" w:type="pct"/>
        <w:tblInd w:w="108" w:type="dxa"/>
        <w:tblLook w:val="04A0" w:firstRow="1" w:lastRow="0" w:firstColumn="1" w:lastColumn="0" w:noHBand="0" w:noVBand="1"/>
      </w:tblPr>
      <w:tblGrid>
        <w:gridCol w:w="9135"/>
      </w:tblGrid>
      <w:tr w:rsidR="00547923" w:rsidRPr="0093789E" w:rsidTr="00B12E0A">
        <w:trPr>
          <w:tblHeader/>
        </w:trPr>
        <w:tc>
          <w:tcPr>
            <w:tcW w:w="5000" w:type="pct"/>
            <w:shd w:val="clear" w:color="auto" w:fill="F2F2F2" w:themeFill="background1" w:themeFillShade="F2"/>
          </w:tcPr>
          <w:p w:rsidR="00547923" w:rsidRDefault="005C7A84" w:rsidP="00547923">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547923">
              <w:rPr>
                <w:rFonts w:ascii="Arial" w:hAnsi="Arial" w:cs="Arial"/>
                <w:b/>
                <w:color w:val="auto"/>
                <w:szCs w:val="20"/>
              </w:rPr>
              <w:t>Professional indemni</w:t>
            </w:r>
            <w:r>
              <w:rPr>
                <w:rFonts w:ascii="Arial" w:hAnsi="Arial" w:cs="Arial"/>
                <w:b/>
                <w:color w:val="auto"/>
                <w:szCs w:val="20"/>
              </w:rPr>
              <w:t>ty insurance arrangements (PII)</w:t>
            </w:r>
          </w:p>
          <w:p w:rsidR="003F3C94" w:rsidRPr="0093789E" w:rsidRDefault="003F3C94" w:rsidP="009062D9">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9062D9">
              <w:rPr>
                <w:rFonts w:ascii="Arial" w:hAnsi="Arial" w:cs="Arial"/>
                <w:i/>
                <w:color w:val="auto"/>
                <w:szCs w:val="20"/>
              </w:rPr>
              <w:t xml:space="preserve">boxes </w:t>
            </w:r>
            <w:r>
              <w:rPr>
                <w:rFonts w:ascii="Arial" w:hAnsi="Arial" w:cs="Arial"/>
                <w:i/>
                <w:color w:val="auto"/>
                <w:szCs w:val="20"/>
              </w:rPr>
              <w:t>below</w:t>
            </w:r>
          </w:p>
        </w:tc>
      </w:tr>
      <w:tr w:rsidR="004922C9" w:rsidRPr="0093789E" w:rsidTr="008A32BE">
        <w:tc>
          <w:tcPr>
            <w:tcW w:w="5000" w:type="pct"/>
            <w:shd w:val="clear" w:color="auto" w:fill="DAEEF3" w:themeFill="accent5" w:themeFillTint="33"/>
          </w:tcPr>
          <w:p w:rsidR="004922C9" w:rsidRPr="003F3C94" w:rsidRDefault="004922C9" w:rsidP="008A32BE">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is the current </w:t>
            </w:r>
            <w:r>
              <w:rPr>
                <w:rFonts w:ascii="Arial" w:hAnsi="Arial" w:cs="Arial"/>
                <w:color w:val="auto"/>
                <w:szCs w:val="20"/>
              </w:rPr>
              <w:t xml:space="preserve">PII </w:t>
            </w:r>
            <w:r w:rsidRPr="0093789E">
              <w:rPr>
                <w:rFonts w:ascii="Arial" w:hAnsi="Arial" w:cs="Arial"/>
                <w:color w:val="auto"/>
                <w:szCs w:val="20"/>
              </w:rPr>
              <w:t>registration standard working?</w:t>
            </w:r>
            <w:r>
              <w:rPr>
                <w:rFonts w:ascii="Arial" w:hAnsi="Arial" w:cs="Arial"/>
                <w:color w:val="auto"/>
                <w:szCs w:val="20"/>
              </w:rPr>
              <w:t xml:space="preserve"> </w:t>
            </w:r>
          </w:p>
        </w:tc>
      </w:tr>
      <w:tr w:rsidR="004922C9" w:rsidRPr="00B12E0A" w:rsidTr="008A32BE">
        <w:tc>
          <w:tcPr>
            <w:tcW w:w="5000" w:type="pct"/>
          </w:tcPr>
          <w:p w:rsidR="004922C9" w:rsidRPr="00B12E0A" w:rsidRDefault="004922C9" w:rsidP="008A32BE">
            <w:pPr>
              <w:pStyle w:val="TableText"/>
              <w:keepNext w:val="0"/>
              <w:spacing w:before="0" w:after="0"/>
              <w:jc w:val="both"/>
              <w:rPr>
                <w:rFonts w:ascii="Arial" w:hAnsi="Arial" w:cs="Arial"/>
                <w:color w:val="auto"/>
                <w:szCs w:val="20"/>
              </w:rPr>
            </w:pPr>
          </w:p>
          <w:p w:rsidR="00D367BB" w:rsidRPr="00B12E0A" w:rsidRDefault="00D367BB" w:rsidP="00D367BB">
            <w:pPr>
              <w:pStyle w:val="TableText"/>
              <w:keepNext w:val="0"/>
              <w:spacing w:before="0" w:after="0"/>
              <w:jc w:val="both"/>
              <w:rPr>
                <w:rFonts w:ascii="Arial" w:hAnsi="Arial" w:cs="Arial"/>
                <w:color w:val="auto"/>
                <w:szCs w:val="20"/>
              </w:rPr>
            </w:pPr>
            <w:r>
              <w:rPr>
                <w:rFonts w:ascii="Arial" w:hAnsi="Arial" w:cs="Arial"/>
                <w:color w:val="auto"/>
                <w:szCs w:val="20"/>
              </w:rPr>
              <w:t xml:space="preserve">COCA is of the opinion that the current PII registration standard is working but requires amendment in addition to the </w:t>
            </w:r>
            <w:r w:rsidR="005C40C4">
              <w:rPr>
                <w:rFonts w:ascii="Arial" w:hAnsi="Arial" w:cs="Arial"/>
                <w:color w:val="auto"/>
                <w:szCs w:val="20"/>
              </w:rPr>
              <w:t xml:space="preserve">changes contained in the </w:t>
            </w:r>
            <w:r>
              <w:rPr>
                <w:rFonts w:ascii="Arial" w:hAnsi="Arial" w:cs="Arial"/>
                <w:color w:val="auto"/>
                <w:szCs w:val="20"/>
              </w:rPr>
              <w:t xml:space="preserve">revised draft </w:t>
            </w:r>
          </w:p>
          <w:p w:rsidR="004922C9" w:rsidRPr="00B12E0A" w:rsidRDefault="004922C9" w:rsidP="008A32BE">
            <w:pPr>
              <w:pStyle w:val="TableText"/>
              <w:keepNext w:val="0"/>
              <w:spacing w:before="0" w:after="0"/>
              <w:jc w:val="both"/>
              <w:rPr>
                <w:rFonts w:ascii="Arial" w:hAnsi="Arial" w:cs="Arial"/>
                <w:color w:val="auto"/>
                <w:szCs w:val="20"/>
              </w:rPr>
            </w:pPr>
          </w:p>
          <w:p w:rsidR="004922C9" w:rsidRPr="00B12E0A" w:rsidRDefault="004922C9" w:rsidP="008A32BE">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93789E" w:rsidRDefault="00547923" w:rsidP="001037F1">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 content </w:t>
            </w:r>
            <w:r w:rsidR="00687482">
              <w:rPr>
                <w:rFonts w:ascii="Arial" w:hAnsi="Arial" w:cs="Arial"/>
                <w:color w:val="auto"/>
              </w:rPr>
              <w:t xml:space="preserve">and structure </w:t>
            </w:r>
            <w:r w:rsidRPr="0093789E">
              <w:rPr>
                <w:rFonts w:ascii="Arial" w:hAnsi="Arial" w:cs="Arial"/>
                <w:color w:val="auto"/>
              </w:rPr>
              <w:t xml:space="preserve">of the </w:t>
            </w:r>
            <w:r w:rsidR="001037F1">
              <w:rPr>
                <w:rFonts w:ascii="Arial" w:hAnsi="Arial" w:cs="Arial"/>
                <w:color w:val="auto"/>
              </w:rPr>
              <w:t xml:space="preserve">draft revised </w:t>
            </w:r>
            <w:r>
              <w:rPr>
                <w:rFonts w:ascii="Arial" w:hAnsi="Arial" w:cs="Arial"/>
                <w:color w:val="auto"/>
              </w:rPr>
              <w:t xml:space="preserve">PII </w:t>
            </w:r>
            <w:r w:rsidRPr="0093789E">
              <w:rPr>
                <w:rFonts w:ascii="Arial" w:hAnsi="Arial" w:cs="Arial"/>
                <w:color w:val="auto"/>
              </w:rPr>
              <w:t>regis</w:t>
            </w:r>
            <w:r w:rsidR="001037F1">
              <w:rPr>
                <w:rFonts w:ascii="Arial" w:hAnsi="Arial" w:cs="Arial"/>
                <w:color w:val="auto"/>
              </w:rPr>
              <w:t xml:space="preserve">tration standard helpful, clear, </w:t>
            </w:r>
            <w:r w:rsidRPr="0093789E">
              <w:rPr>
                <w:rFonts w:ascii="Arial" w:hAnsi="Arial" w:cs="Arial"/>
                <w:color w:val="auto"/>
              </w:rPr>
              <w:t>relevant</w:t>
            </w:r>
            <w:r w:rsidR="001037F1">
              <w:rPr>
                <w:rFonts w:ascii="Arial" w:hAnsi="Arial" w:cs="Arial"/>
                <w:color w:val="auto"/>
              </w:rPr>
              <w:t xml:space="preserve"> and more workable than the current standard</w:t>
            </w:r>
            <w:r w:rsidRPr="0093789E">
              <w:rPr>
                <w:rFonts w:ascii="Arial" w:hAnsi="Arial" w:cs="Arial"/>
                <w:color w:val="auto"/>
              </w:rPr>
              <w:t>?</w:t>
            </w:r>
          </w:p>
        </w:tc>
      </w:tr>
      <w:tr w:rsidR="00547923" w:rsidRPr="0093789E" w:rsidTr="00547923">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547923" w:rsidRDefault="00D367BB" w:rsidP="00547923">
            <w:pPr>
              <w:pStyle w:val="TableText"/>
              <w:keepNext w:val="0"/>
              <w:spacing w:before="0" w:after="0"/>
              <w:jc w:val="both"/>
              <w:rPr>
                <w:rFonts w:ascii="Arial" w:hAnsi="Arial" w:cs="Arial"/>
                <w:color w:val="auto"/>
              </w:rPr>
            </w:pPr>
            <w:r>
              <w:rPr>
                <w:rFonts w:ascii="Arial" w:hAnsi="Arial" w:cs="Arial"/>
                <w:color w:val="auto"/>
              </w:rPr>
              <w:t>Yes</w:t>
            </w: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93789E" w:rsidRDefault="00547923" w:rsidP="001037F1">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sidR="001037F1">
              <w:rPr>
                <w:rFonts w:ascii="Arial" w:hAnsi="Arial" w:cs="Arial"/>
                <w:color w:val="auto"/>
              </w:rPr>
              <w:t xml:space="preserve">draft revised </w:t>
            </w:r>
            <w:r>
              <w:rPr>
                <w:rFonts w:ascii="Arial" w:hAnsi="Arial" w:cs="Arial"/>
                <w:color w:val="auto"/>
              </w:rPr>
              <w:t xml:space="preserve">PII </w:t>
            </w:r>
            <w:r w:rsidRPr="0093789E">
              <w:rPr>
                <w:rFonts w:ascii="Arial" w:hAnsi="Arial" w:cs="Arial"/>
                <w:color w:val="auto"/>
              </w:rPr>
              <w:t>registration standard?</w:t>
            </w:r>
          </w:p>
        </w:tc>
      </w:tr>
      <w:tr w:rsidR="00547923" w:rsidRPr="0093789E" w:rsidTr="00547923">
        <w:tc>
          <w:tcPr>
            <w:tcW w:w="5000" w:type="pct"/>
          </w:tcPr>
          <w:p w:rsidR="005C40C4" w:rsidRDefault="005C40C4" w:rsidP="00D367BB">
            <w:pPr>
              <w:rPr>
                <w:rFonts w:ascii="Arial" w:hAnsi="Arial" w:cs="Arial"/>
                <w:sz w:val="20"/>
                <w:szCs w:val="20"/>
              </w:rPr>
            </w:pPr>
          </w:p>
          <w:p w:rsidR="005C40C4" w:rsidRDefault="00D367BB" w:rsidP="00D367BB">
            <w:pPr>
              <w:rPr>
                <w:rFonts w:ascii="Arial" w:hAnsi="Arial" w:cs="Arial"/>
                <w:sz w:val="20"/>
                <w:szCs w:val="20"/>
              </w:rPr>
            </w:pPr>
            <w:r w:rsidRPr="002B24FA">
              <w:rPr>
                <w:rFonts w:ascii="Arial" w:hAnsi="Arial" w:cs="Arial"/>
                <w:sz w:val="20"/>
                <w:szCs w:val="20"/>
              </w:rPr>
              <w:t xml:space="preserve">In COCA’s opinion the current draft requires further amendment. COCA supports </w:t>
            </w:r>
            <w:r>
              <w:rPr>
                <w:rFonts w:ascii="Arial" w:hAnsi="Arial" w:cs="Arial"/>
                <w:sz w:val="20"/>
                <w:szCs w:val="20"/>
              </w:rPr>
              <w:t xml:space="preserve">Option 2 of the proposed revised standard and in particular lowering the level of cover but not </w:t>
            </w:r>
            <w:r w:rsidR="005C40C4">
              <w:rPr>
                <w:rFonts w:ascii="Arial" w:hAnsi="Arial" w:cs="Arial"/>
                <w:sz w:val="20"/>
                <w:szCs w:val="20"/>
              </w:rPr>
              <w:t xml:space="preserve">to permit the options of </w:t>
            </w:r>
            <w:r>
              <w:rPr>
                <w:rFonts w:ascii="Arial" w:hAnsi="Arial" w:cs="Arial"/>
                <w:sz w:val="20"/>
                <w:szCs w:val="20"/>
              </w:rPr>
              <w:t xml:space="preserve">self-assessment </w:t>
            </w:r>
            <w:r w:rsidR="005C40C4">
              <w:rPr>
                <w:rFonts w:ascii="Arial" w:hAnsi="Arial" w:cs="Arial"/>
                <w:sz w:val="20"/>
                <w:szCs w:val="20"/>
              </w:rPr>
              <w:t xml:space="preserve">and not to require a </w:t>
            </w:r>
            <w:r>
              <w:rPr>
                <w:rFonts w:ascii="Arial" w:hAnsi="Arial" w:cs="Arial"/>
                <w:sz w:val="20"/>
                <w:szCs w:val="20"/>
              </w:rPr>
              <w:t xml:space="preserve">specific level of cover.  </w:t>
            </w:r>
          </w:p>
          <w:p w:rsidR="005C40C4" w:rsidRDefault="005C40C4" w:rsidP="00D367BB">
            <w:pPr>
              <w:rPr>
                <w:rFonts w:ascii="Arial" w:hAnsi="Arial" w:cs="Arial"/>
                <w:sz w:val="20"/>
                <w:szCs w:val="20"/>
              </w:rPr>
            </w:pPr>
          </w:p>
          <w:p w:rsidR="00D367BB" w:rsidRPr="00646D65" w:rsidRDefault="00D367BB" w:rsidP="00D367BB">
            <w:pPr>
              <w:rPr>
                <w:rFonts w:ascii="Arial" w:hAnsi="Arial" w:cs="Arial"/>
                <w:sz w:val="20"/>
                <w:szCs w:val="20"/>
              </w:rPr>
            </w:pPr>
            <w:r>
              <w:rPr>
                <w:rFonts w:ascii="Arial" w:hAnsi="Arial" w:cs="Arial"/>
                <w:sz w:val="20"/>
                <w:szCs w:val="20"/>
              </w:rPr>
              <w:t xml:space="preserve">The current requirement </w:t>
            </w:r>
            <w:r w:rsidRPr="002B24FA">
              <w:rPr>
                <w:rFonts w:ascii="Arial" w:hAnsi="Arial" w:cs="Arial"/>
                <w:sz w:val="20"/>
                <w:szCs w:val="20"/>
              </w:rPr>
              <w:t xml:space="preserve">for </w:t>
            </w:r>
            <w:r w:rsidR="00494B50">
              <w:rPr>
                <w:rFonts w:ascii="Arial" w:hAnsi="Arial" w:cs="Arial"/>
                <w:sz w:val="20"/>
                <w:szCs w:val="20"/>
              </w:rPr>
              <w:t xml:space="preserve">a minimum cover </w:t>
            </w:r>
            <w:r>
              <w:rPr>
                <w:rFonts w:ascii="Arial" w:hAnsi="Arial" w:cs="Arial"/>
                <w:sz w:val="20"/>
                <w:szCs w:val="20"/>
              </w:rPr>
              <w:t>of $20 million is excess</w:t>
            </w:r>
            <w:r w:rsidR="00494B50">
              <w:rPr>
                <w:rFonts w:ascii="Arial" w:hAnsi="Arial" w:cs="Arial"/>
                <w:sz w:val="20"/>
                <w:szCs w:val="20"/>
              </w:rPr>
              <w:t xml:space="preserve">ive </w:t>
            </w:r>
            <w:r w:rsidR="00F4241B">
              <w:rPr>
                <w:rFonts w:ascii="Arial" w:hAnsi="Arial" w:cs="Arial"/>
                <w:sz w:val="20"/>
                <w:szCs w:val="20"/>
              </w:rPr>
              <w:t>and</w:t>
            </w:r>
            <w:r>
              <w:rPr>
                <w:rFonts w:ascii="Arial" w:hAnsi="Arial" w:cs="Arial"/>
                <w:sz w:val="20"/>
                <w:szCs w:val="20"/>
              </w:rPr>
              <w:t xml:space="preserve"> cannot be </w:t>
            </w:r>
            <w:r w:rsidR="00F4241B">
              <w:rPr>
                <w:rFonts w:ascii="Arial" w:hAnsi="Arial" w:cs="Arial"/>
                <w:sz w:val="20"/>
                <w:szCs w:val="20"/>
              </w:rPr>
              <w:t>supported</w:t>
            </w:r>
            <w:proofErr w:type="gramStart"/>
            <w:r w:rsidR="00F4241B">
              <w:rPr>
                <w:rFonts w:ascii="Arial" w:hAnsi="Arial" w:cs="Arial"/>
                <w:sz w:val="20"/>
                <w:szCs w:val="20"/>
              </w:rPr>
              <w:t>.</w:t>
            </w:r>
            <w:r w:rsidR="00494B50">
              <w:rPr>
                <w:rFonts w:ascii="Arial" w:hAnsi="Arial" w:cs="Arial"/>
                <w:sz w:val="20"/>
                <w:szCs w:val="20"/>
              </w:rPr>
              <w:t>.</w:t>
            </w:r>
            <w:proofErr w:type="gramEnd"/>
            <w:r w:rsidR="00494B50">
              <w:rPr>
                <w:rFonts w:ascii="Arial" w:hAnsi="Arial" w:cs="Arial"/>
                <w:sz w:val="20"/>
                <w:szCs w:val="20"/>
              </w:rPr>
              <w:t xml:space="preserve"> </w:t>
            </w:r>
            <w:r w:rsidRPr="002B24FA">
              <w:rPr>
                <w:rFonts w:ascii="Arial" w:hAnsi="Arial" w:cs="Arial"/>
                <w:sz w:val="20"/>
                <w:szCs w:val="20"/>
              </w:rPr>
              <w:t>COCA is not aware of any</w:t>
            </w:r>
            <w:r>
              <w:t xml:space="preserve"> negligence claim against an Australian osteopath</w:t>
            </w:r>
            <w:r w:rsidR="00F4241B">
              <w:t>,</w:t>
            </w:r>
            <w:r>
              <w:t xml:space="preserve"> whi</w:t>
            </w:r>
            <w:r w:rsidR="00494B50">
              <w:t xml:space="preserve">ch approximated such an amount and </w:t>
            </w:r>
            <w:r>
              <w:t xml:space="preserve">COCA believes that a cover </w:t>
            </w:r>
            <w:r w:rsidRPr="00646D65">
              <w:rPr>
                <w:rFonts w:ascii="Arial" w:hAnsi="Arial" w:cs="Arial"/>
                <w:sz w:val="20"/>
                <w:szCs w:val="20"/>
              </w:rPr>
              <w:t xml:space="preserve">of $10 million is more in keeping with industry standards and </w:t>
            </w:r>
            <w:r w:rsidR="00F4241B">
              <w:rPr>
                <w:rFonts w:ascii="Arial" w:hAnsi="Arial" w:cs="Arial"/>
                <w:sz w:val="20"/>
                <w:szCs w:val="20"/>
              </w:rPr>
              <w:t xml:space="preserve">is </w:t>
            </w:r>
            <w:r w:rsidRPr="00646D65">
              <w:rPr>
                <w:rFonts w:ascii="Arial" w:hAnsi="Arial" w:cs="Arial"/>
                <w:sz w:val="20"/>
                <w:szCs w:val="20"/>
              </w:rPr>
              <w:t xml:space="preserve">adequate cover for a registered osteopath. </w:t>
            </w:r>
          </w:p>
          <w:p w:rsidR="00D367BB" w:rsidRPr="00646D65" w:rsidRDefault="00D367BB" w:rsidP="00D367BB">
            <w:pPr>
              <w:rPr>
                <w:rFonts w:ascii="Arial" w:hAnsi="Arial" w:cs="Arial"/>
                <w:sz w:val="20"/>
                <w:szCs w:val="20"/>
              </w:rPr>
            </w:pPr>
            <w:r w:rsidRPr="00646D65">
              <w:rPr>
                <w:rFonts w:ascii="Arial" w:hAnsi="Arial" w:cs="Arial"/>
                <w:sz w:val="20"/>
                <w:szCs w:val="20"/>
              </w:rPr>
              <w:t>The proposed standard als</w:t>
            </w:r>
            <w:r w:rsidR="00F4241B">
              <w:rPr>
                <w:rFonts w:ascii="Arial" w:hAnsi="Arial" w:cs="Arial"/>
                <w:sz w:val="20"/>
                <w:szCs w:val="20"/>
              </w:rPr>
              <w:t xml:space="preserve">o fails to quantify the period </w:t>
            </w:r>
            <w:proofErr w:type="gramStart"/>
            <w:r w:rsidR="00F4241B">
              <w:rPr>
                <w:rFonts w:ascii="Arial" w:hAnsi="Arial" w:cs="Arial"/>
                <w:sz w:val="20"/>
                <w:szCs w:val="20"/>
              </w:rPr>
              <w:t>of  “</w:t>
            </w:r>
            <w:proofErr w:type="gramEnd"/>
            <w:r w:rsidR="00F4241B">
              <w:rPr>
                <w:rFonts w:ascii="Arial" w:hAnsi="Arial" w:cs="Arial"/>
                <w:sz w:val="20"/>
                <w:szCs w:val="20"/>
              </w:rPr>
              <w:t>run-off cover”</w:t>
            </w:r>
            <w:r w:rsidRPr="00646D65">
              <w:rPr>
                <w:rFonts w:ascii="Arial" w:hAnsi="Arial" w:cs="Arial"/>
                <w:sz w:val="20"/>
                <w:szCs w:val="20"/>
              </w:rPr>
              <w:t xml:space="preserve"> required and in this regard we suggest that a period of five years “run-off cover” is adequate</w:t>
            </w:r>
            <w:r w:rsidR="00F4241B">
              <w:rPr>
                <w:rFonts w:ascii="Arial" w:hAnsi="Arial" w:cs="Arial"/>
                <w:sz w:val="20"/>
                <w:szCs w:val="20"/>
              </w:rPr>
              <w:t>,</w:t>
            </w:r>
            <w:r w:rsidRPr="00646D65">
              <w:rPr>
                <w:rFonts w:ascii="Arial" w:hAnsi="Arial" w:cs="Arial"/>
                <w:sz w:val="20"/>
                <w:szCs w:val="20"/>
              </w:rPr>
              <w:t xml:space="preserve"> given the nature of claims made against osteopaths and the types of condition and treatment provided by osteopaths.</w:t>
            </w:r>
          </w:p>
          <w:p w:rsidR="00D367BB" w:rsidRPr="00646D65" w:rsidRDefault="00D367BB" w:rsidP="00D367BB">
            <w:pPr>
              <w:pStyle w:val="TableText"/>
              <w:spacing w:before="0" w:after="0"/>
              <w:jc w:val="both"/>
              <w:rPr>
                <w:rFonts w:ascii="Arial" w:hAnsi="Arial" w:cs="Arial"/>
                <w:color w:val="auto"/>
                <w:szCs w:val="20"/>
              </w:rPr>
            </w:pPr>
            <w:r w:rsidRPr="00646D65">
              <w:rPr>
                <w:rFonts w:ascii="Arial" w:hAnsi="Arial" w:cs="Arial"/>
                <w:color w:val="auto"/>
                <w:szCs w:val="20"/>
              </w:rPr>
              <w:t xml:space="preserve">As per several previous submissions on this and other Registration Standards COCA suggests that the definition of “Practice” requires review and amendment. </w:t>
            </w:r>
          </w:p>
          <w:p w:rsidR="00D367BB" w:rsidRPr="00646D65" w:rsidRDefault="00D367BB" w:rsidP="00D367BB">
            <w:pPr>
              <w:pStyle w:val="TableText"/>
              <w:spacing w:before="0" w:after="0"/>
              <w:jc w:val="both"/>
              <w:rPr>
                <w:rFonts w:ascii="Arial" w:hAnsi="Arial" w:cs="Arial"/>
                <w:color w:val="auto"/>
                <w:szCs w:val="20"/>
              </w:rPr>
            </w:pPr>
          </w:p>
          <w:p w:rsidR="00D367BB" w:rsidRPr="00646D65" w:rsidRDefault="00D367BB" w:rsidP="00D367BB">
            <w:pPr>
              <w:rPr>
                <w:rFonts w:ascii="Arial" w:hAnsi="Arial" w:cs="Arial"/>
                <w:sz w:val="20"/>
                <w:szCs w:val="20"/>
              </w:rPr>
            </w:pPr>
            <w:r w:rsidRPr="00646D65">
              <w:rPr>
                <w:rFonts w:ascii="Arial" w:hAnsi="Arial" w:cs="Arial"/>
                <w:sz w:val="20"/>
                <w:szCs w:val="20"/>
              </w:rPr>
              <w:t>We acknowledge that under certain circumstances professional indemnity insurance may be required in order to safeguard the public, including students but in other areas of osteopathic practice this requirement would appear irrelevant.</w:t>
            </w:r>
          </w:p>
          <w:p w:rsidR="00D367BB" w:rsidRPr="00646D65" w:rsidRDefault="00D367BB" w:rsidP="00D367BB">
            <w:pPr>
              <w:rPr>
                <w:rFonts w:ascii="Arial" w:hAnsi="Arial" w:cs="Arial"/>
                <w:sz w:val="20"/>
                <w:szCs w:val="20"/>
              </w:rPr>
            </w:pPr>
            <w:r w:rsidRPr="00646D65">
              <w:rPr>
                <w:rFonts w:ascii="Arial" w:hAnsi="Arial" w:cs="Arial"/>
                <w:sz w:val="20"/>
                <w:szCs w:val="20"/>
              </w:rPr>
              <w:t xml:space="preserve">Included in the definition of “practice”, provided by the Board for the purposes of Professional Indemnity Insurance are activities such as “working in management”, “administration” and “regulatory of policy development roles”. While it is possible that some of these roles may indirectly or directly impact on the safe and effective delivery of osteopathic services, there would be many instances where the requirement for professional indemnity insurance would be irrelevant, such as administration positions, where the work involved has not bearing or influence on patient safety and health outcomes. </w:t>
            </w:r>
          </w:p>
          <w:p w:rsidR="00547923" w:rsidRDefault="00D367BB" w:rsidP="00D367BB">
            <w:pPr>
              <w:pStyle w:val="TableText"/>
              <w:keepNext w:val="0"/>
              <w:spacing w:before="0" w:after="0"/>
              <w:jc w:val="both"/>
              <w:rPr>
                <w:rFonts w:ascii="Arial" w:hAnsi="Arial" w:cs="Arial"/>
                <w:iCs/>
                <w:szCs w:val="20"/>
              </w:rPr>
            </w:pPr>
            <w:r w:rsidRPr="00646D65">
              <w:rPr>
                <w:rFonts w:ascii="Arial" w:hAnsi="Arial" w:cs="Arial"/>
                <w:szCs w:val="20"/>
              </w:rPr>
              <w:t>In this context, COCA refers the Board to AHPRA’s previous “preliminary consultation on the definition of practice, issued in August 2011, and suggests the alternative definition of practice contained in that document, “</w:t>
            </w:r>
            <w:r w:rsidRPr="00646D65">
              <w:rPr>
                <w:rFonts w:ascii="Arial" w:hAnsi="Arial" w:cs="Arial"/>
                <w:b/>
                <w:bCs/>
                <w:i/>
                <w:iCs/>
                <w:szCs w:val="20"/>
              </w:rPr>
              <w:t xml:space="preserve">Practice </w:t>
            </w:r>
            <w:r w:rsidRPr="00646D65">
              <w:rPr>
                <w:rFonts w:ascii="Arial" w:hAnsi="Arial" w:cs="Arial"/>
                <w:i/>
                <w:iCs/>
                <w:szCs w:val="20"/>
              </w:rPr>
              <w:t xml:space="preserve">means any role in which the individual uses their skills and knowledge as a health practitioner in their profession in any way that impacts on safe, effective delivery of health services”, </w:t>
            </w:r>
            <w:r w:rsidRPr="00646D65">
              <w:rPr>
                <w:rFonts w:ascii="Arial" w:hAnsi="Arial" w:cs="Arial"/>
                <w:iCs/>
                <w:szCs w:val="20"/>
              </w:rPr>
              <w:t>is better suited</w:t>
            </w:r>
            <w:r w:rsidRPr="00646D65">
              <w:rPr>
                <w:rFonts w:ascii="Arial" w:hAnsi="Arial" w:cs="Arial"/>
                <w:i/>
                <w:iCs/>
                <w:szCs w:val="20"/>
              </w:rPr>
              <w:t xml:space="preserve"> </w:t>
            </w:r>
            <w:r>
              <w:rPr>
                <w:rFonts w:ascii="Arial" w:hAnsi="Arial" w:cs="Arial"/>
                <w:iCs/>
                <w:szCs w:val="20"/>
              </w:rPr>
              <w:t>for this practice standard.</w:t>
            </w:r>
          </w:p>
          <w:p w:rsidR="00494B50" w:rsidRPr="0093789E" w:rsidRDefault="00494B50" w:rsidP="00D367BB">
            <w:pPr>
              <w:pStyle w:val="TableText"/>
              <w:keepNext w:val="0"/>
              <w:spacing w:before="0" w:after="0"/>
              <w:jc w:val="both"/>
              <w:rPr>
                <w:rFonts w:ascii="Arial" w:hAnsi="Arial" w:cs="Arial"/>
                <w:color w:val="auto"/>
              </w:rPr>
            </w:pPr>
          </w:p>
        </w:tc>
      </w:tr>
      <w:tr w:rsidR="00B92506" w:rsidRPr="0093789E" w:rsidTr="00B92506">
        <w:tc>
          <w:tcPr>
            <w:tcW w:w="5000" w:type="pct"/>
            <w:shd w:val="clear" w:color="auto" w:fill="DAEEF3" w:themeFill="accent5" w:themeFillTint="33"/>
          </w:tcPr>
          <w:p w:rsidR="00B92506" w:rsidRPr="0093789E" w:rsidRDefault="00B92506" w:rsidP="00B92506">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lastRenderedPageBreak/>
              <w:t xml:space="preserve">Is there anything missing that needs to be added to the </w:t>
            </w:r>
            <w:r>
              <w:rPr>
                <w:rFonts w:ascii="Arial" w:hAnsi="Arial" w:cs="Arial"/>
                <w:color w:val="auto"/>
              </w:rPr>
              <w:t xml:space="preserve">draft revised PII </w:t>
            </w:r>
            <w:r w:rsidRPr="0093789E">
              <w:rPr>
                <w:rFonts w:ascii="Arial" w:hAnsi="Arial" w:cs="Arial"/>
                <w:color w:val="auto"/>
              </w:rPr>
              <w:t>registration standard?</w:t>
            </w:r>
          </w:p>
        </w:tc>
      </w:tr>
      <w:tr w:rsidR="00B92506" w:rsidRPr="0093789E" w:rsidTr="00B92506">
        <w:tc>
          <w:tcPr>
            <w:tcW w:w="5000" w:type="pct"/>
          </w:tcPr>
          <w:p w:rsidR="00B92506" w:rsidRDefault="00B92506" w:rsidP="00B92506">
            <w:pPr>
              <w:pStyle w:val="TableText"/>
              <w:keepNext w:val="0"/>
              <w:spacing w:before="0" w:after="0"/>
              <w:jc w:val="both"/>
              <w:rPr>
                <w:rFonts w:ascii="Arial" w:hAnsi="Arial" w:cs="Arial"/>
                <w:color w:val="auto"/>
              </w:rPr>
            </w:pPr>
          </w:p>
          <w:p w:rsidR="00B92506" w:rsidRDefault="00494B50" w:rsidP="00B92506">
            <w:pPr>
              <w:pStyle w:val="TableText"/>
              <w:keepNext w:val="0"/>
              <w:spacing w:before="0" w:after="0"/>
              <w:jc w:val="both"/>
              <w:rPr>
                <w:rFonts w:ascii="Arial" w:hAnsi="Arial" w:cs="Arial"/>
                <w:color w:val="auto"/>
              </w:rPr>
            </w:pPr>
            <w:r>
              <w:rPr>
                <w:rFonts w:ascii="Arial" w:hAnsi="Arial" w:cs="Arial"/>
                <w:color w:val="auto"/>
              </w:rPr>
              <w:t>See above</w:t>
            </w:r>
          </w:p>
          <w:p w:rsidR="00B92506" w:rsidRPr="0093789E" w:rsidRDefault="00B92506" w:rsidP="00B92506">
            <w:pPr>
              <w:pStyle w:val="TableText"/>
              <w:keepNext w:val="0"/>
              <w:spacing w:before="0" w:after="0"/>
              <w:jc w:val="both"/>
              <w:rPr>
                <w:rFonts w:ascii="Arial" w:hAnsi="Arial" w:cs="Arial"/>
                <w:color w:val="auto"/>
              </w:rPr>
            </w:pPr>
          </w:p>
        </w:tc>
      </w:tr>
      <w:tr w:rsidR="00547923" w:rsidRPr="00B92506" w:rsidTr="00547923">
        <w:tc>
          <w:tcPr>
            <w:tcW w:w="5000" w:type="pct"/>
            <w:shd w:val="clear" w:color="auto" w:fill="DAEEF3" w:themeFill="accent5" w:themeFillTint="33"/>
          </w:tcPr>
          <w:p w:rsidR="00547923" w:rsidRPr="00B92506" w:rsidRDefault="00FE1F23" w:rsidP="007D7B6F">
            <w:pPr>
              <w:pStyle w:val="TableText"/>
              <w:keepNext w:val="0"/>
              <w:numPr>
                <w:ilvl w:val="0"/>
                <w:numId w:val="7"/>
              </w:numPr>
              <w:spacing w:before="0" w:after="0"/>
              <w:jc w:val="both"/>
              <w:rPr>
                <w:rFonts w:ascii="Arial" w:hAnsi="Arial" w:cs="Arial"/>
                <w:color w:val="auto"/>
              </w:rPr>
            </w:pPr>
            <w:r>
              <w:rPr>
                <w:rFonts w:ascii="Arial" w:hAnsi="Arial" w:cs="Arial"/>
                <w:szCs w:val="20"/>
              </w:rPr>
              <w:t xml:space="preserve">Do you have feedback on </w:t>
            </w:r>
            <w:r w:rsidR="007D7B6F">
              <w:rPr>
                <w:rFonts w:ascii="Arial" w:hAnsi="Arial" w:cs="Arial"/>
                <w:szCs w:val="20"/>
              </w:rPr>
              <w:t xml:space="preserve">whether the Board continues to state the minimum $20 million level of cover; or whether it should </w:t>
            </w:r>
            <w:r w:rsidR="007D7B6F">
              <w:rPr>
                <w:rFonts w:ascii="Arial" w:hAnsi="Arial"/>
              </w:rPr>
              <w:t xml:space="preserve">not specify a level of cover, or </w:t>
            </w:r>
            <w:r w:rsidR="007D7B6F" w:rsidRPr="00255BEF">
              <w:rPr>
                <w:rFonts w:ascii="Arial" w:hAnsi="Arial"/>
                <w:color w:val="auto"/>
              </w:rPr>
              <w:t>specify a lower level of cover</w:t>
            </w:r>
            <w:r w:rsidR="00B92506" w:rsidRPr="00B92506">
              <w:rPr>
                <w:rFonts w:ascii="Arial" w:hAnsi="Arial" w:cs="Arial"/>
                <w:color w:val="auto"/>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494B50" w:rsidRDefault="00494B50" w:rsidP="00547923">
            <w:pPr>
              <w:pStyle w:val="TableText"/>
              <w:keepNext w:val="0"/>
              <w:spacing w:before="0" w:after="0"/>
              <w:jc w:val="both"/>
              <w:rPr>
                <w:rFonts w:ascii="Arial" w:hAnsi="Arial" w:cs="Arial"/>
                <w:color w:val="auto"/>
              </w:rPr>
            </w:pPr>
            <w:r>
              <w:rPr>
                <w:rFonts w:ascii="Arial" w:hAnsi="Arial" w:cs="Arial"/>
                <w:color w:val="auto"/>
              </w:rPr>
              <w:t>See above</w:t>
            </w: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93789E" w:rsidRDefault="00547923" w:rsidP="001037F1">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sidR="001037F1">
              <w:rPr>
                <w:rFonts w:ascii="Arial" w:hAnsi="Arial" w:cs="Arial"/>
              </w:rPr>
              <w:t xml:space="preserve">draft revised </w:t>
            </w:r>
            <w:r>
              <w:rPr>
                <w:rFonts w:ascii="Arial" w:hAnsi="Arial" w:cs="Arial"/>
              </w:rPr>
              <w:t xml:space="preserve">PII </w:t>
            </w:r>
            <w:r w:rsidRPr="0093789E">
              <w:rPr>
                <w:rFonts w:ascii="Arial" w:hAnsi="Arial" w:cs="Arial"/>
              </w:rPr>
              <w:t>registration standard?</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494B50" w:rsidP="00547923">
            <w:pPr>
              <w:pStyle w:val="TableText"/>
              <w:keepNext w:val="0"/>
              <w:spacing w:before="0" w:after="0"/>
              <w:jc w:val="both"/>
              <w:rPr>
                <w:rFonts w:ascii="Arial" w:hAnsi="Arial" w:cs="Arial"/>
                <w:color w:val="auto"/>
              </w:rPr>
            </w:pPr>
            <w:r>
              <w:rPr>
                <w:rFonts w:ascii="Arial" w:hAnsi="Arial" w:cs="Arial"/>
                <w:color w:val="auto"/>
              </w:rPr>
              <w:t>No</w:t>
            </w:r>
          </w:p>
          <w:p w:rsidR="00547923" w:rsidRPr="0093789E" w:rsidRDefault="00547923" w:rsidP="00547923">
            <w:pPr>
              <w:pStyle w:val="TableText"/>
              <w:keepNext w:val="0"/>
              <w:spacing w:before="0" w:after="0"/>
              <w:jc w:val="both"/>
              <w:rPr>
                <w:rFonts w:ascii="Arial" w:hAnsi="Arial" w:cs="Arial"/>
                <w:color w:val="auto"/>
              </w:rPr>
            </w:pPr>
          </w:p>
        </w:tc>
      </w:tr>
    </w:tbl>
    <w:p w:rsidR="00B92506" w:rsidRDefault="00B92506">
      <w:pPr>
        <w:spacing w:after="0" w:line="240" w:lineRule="auto"/>
        <w:rPr>
          <w:rFonts w:ascii="Arial" w:eastAsia="Calibri" w:hAnsi="Arial" w:cs="Arial"/>
          <w:sz w:val="20"/>
          <w:szCs w:val="20"/>
        </w:rPr>
      </w:pPr>
    </w:p>
    <w:p w:rsidR="00FE1F23" w:rsidRDefault="00FE1F23" w:rsidP="00FE1F23">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FE1F23" w:rsidRPr="0093789E" w:rsidTr="00FE1F23">
        <w:trPr>
          <w:tblHeader/>
        </w:trPr>
        <w:tc>
          <w:tcPr>
            <w:tcW w:w="5000" w:type="pct"/>
            <w:shd w:val="clear" w:color="auto" w:fill="F2F2F2" w:themeFill="background1" w:themeFillShade="F2"/>
          </w:tcPr>
          <w:p w:rsidR="00FE1F23" w:rsidRDefault="00FE1F23" w:rsidP="00FE1F23">
            <w:pPr>
              <w:pStyle w:val="TableText"/>
              <w:keepNext w:val="0"/>
              <w:jc w:val="center"/>
              <w:rPr>
                <w:rFonts w:ascii="Arial" w:hAnsi="Arial" w:cs="Arial"/>
                <w:b/>
                <w:color w:val="auto"/>
                <w:szCs w:val="20"/>
              </w:rPr>
            </w:pPr>
            <w:r>
              <w:rPr>
                <w:rFonts w:ascii="Arial" w:hAnsi="Arial" w:cs="Arial"/>
                <w:b/>
                <w:color w:val="auto"/>
                <w:szCs w:val="20"/>
              </w:rPr>
              <w:t xml:space="preserve">Registration standard: Recency of practice (ROP) </w:t>
            </w:r>
          </w:p>
          <w:p w:rsidR="00FE1F23" w:rsidRPr="0093789E" w:rsidRDefault="00FE1F23" w:rsidP="00FE1F23">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FE1F23" w:rsidRPr="0093789E" w:rsidTr="00FE1F23">
        <w:tc>
          <w:tcPr>
            <w:tcW w:w="5000" w:type="pct"/>
            <w:shd w:val="clear" w:color="auto" w:fill="DAEEF3" w:themeFill="accent5" w:themeFillTint="33"/>
          </w:tcPr>
          <w:p w:rsidR="00FE1F23" w:rsidRPr="00B12E0A" w:rsidRDefault="00FE1F23" w:rsidP="00FE1F23">
            <w:pPr>
              <w:pStyle w:val="TableText"/>
              <w:keepNext w:val="0"/>
              <w:numPr>
                <w:ilvl w:val="0"/>
                <w:numId w:val="16"/>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is the current </w:t>
            </w:r>
            <w:r>
              <w:rPr>
                <w:rFonts w:ascii="Arial" w:hAnsi="Arial" w:cs="Arial"/>
                <w:color w:val="auto"/>
                <w:szCs w:val="20"/>
              </w:rPr>
              <w:t xml:space="preserve">ROP </w:t>
            </w:r>
            <w:r w:rsidRPr="0093789E">
              <w:rPr>
                <w:rFonts w:ascii="Arial" w:hAnsi="Arial" w:cs="Arial"/>
                <w:color w:val="auto"/>
                <w:szCs w:val="20"/>
              </w:rPr>
              <w:t>registration standard working?</w:t>
            </w:r>
            <w:r>
              <w:rPr>
                <w:rFonts w:ascii="Arial" w:hAnsi="Arial" w:cs="Arial"/>
                <w:color w:val="auto"/>
                <w:szCs w:val="20"/>
              </w:rPr>
              <w:t xml:space="preserve"> </w:t>
            </w:r>
          </w:p>
        </w:tc>
      </w:tr>
      <w:tr w:rsidR="00FE1F23" w:rsidRPr="00B12E0A" w:rsidTr="00FE1F23">
        <w:tc>
          <w:tcPr>
            <w:tcW w:w="5000" w:type="pct"/>
          </w:tcPr>
          <w:p w:rsidR="00FE1F23" w:rsidRPr="00B12E0A" w:rsidRDefault="00FE1F23" w:rsidP="00FE1F23">
            <w:pPr>
              <w:pStyle w:val="TableText"/>
              <w:keepNext w:val="0"/>
              <w:spacing w:before="0" w:after="0"/>
              <w:jc w:val="both"/>
              <w:rPr>
                <w:rFonts w:ascii="Arial" w:hAnsi="Arial" w:cs="Arial"/>
                <w:color w:val="auto"/>
                <w:szCs w:val="20"/>
              </w:rPr>
            </w:pPr>
          </w:p>
          <w:p w:rsidR="00FE1F23" w:rsidRPr="00B12E0A" w:rsidRDefault="00730933" w:rsidP="00FE1F23">
            <w:pPr>
              <w:pStyle w:val="TableText"/>
              <w:keepNext w:val="0"/>
              <w:spacing w:before="0" w:after="0"/>
              <w:jc w:val="both"/>
              <w:rPr>
                <w:rFonts w:ascii="Arial" w:hAnsi="Arial" w:cs="Arial"/>
                <w:color w:val="auto"/>
                <w:szCs w:val="20"/>
              </w:rPr>
            </w:pPr>
            <w:r>
              <w:rPr>
                <w:rFonts w:ascii="Arial" w:hAnsi="Arial" w:cs="Arial"/>
                <w:color w:val="auto"/>
                <w:szCs w:val="20"/>
              </w:rPr>
              <w:t>COCA is not aware of any issues relating to the workability of this registration standard</w:t>
            </w:r>
          </w:p>
          <w:p w:rsidR="00FE1F23" w:rsidRPr="00B12E0A" w:rsidRDefault="00FE1F23" w:rsidP="00FE1F23">
            <w:pPr>
              <w:pStyle w:val="TableText"/>
              <w:keepNext w:val="0"/>
              <w:spacing w:before="0" w:after="0"/>
              <w:jc w:val="both"/>
              <w:rPr>
                <w:rFonts w:ascii="Arial" w:hAnsi="Arial" w:cs="Arial"/>
                <w:color w:val="auto"/>
                <w:szCs w:val="20"/>
              </w:rPr>
            </w:pPr>
          </w:p>
        </w:tc>
      </w:tr>
      <w:tr w:rsidR="00FE1F23" w:rsidRPr="00BD623A" w:rsidTr="00FE1F23">
        <w:tc>
          <w:tcPr>
            <w:tcW w:w="5000" w:type="pct"/>
            <w:shd w:val="clear" w:color="auto" w:fill="DAEEF3" w:themeFill="accent5" w:themeFillTint="33"/>
          </w:tcPr>
          <w:p w:rsidR="00FE1F23" w:rsidRPr="00BD623A" w:rsidRDefault="00FE1F23" w:rsidP="00FE1F23">
            <w:pPr>
              <w:pStyle w:val="TableText"/>
              <w:keepNext w:val="0"/>
              <w:numPr>
                <w:ilvl w:val="0"/>
                <w:numId w:val="16"/>
              </w:numPr>
              <w:spacing w:before="0" w:after="0"/>
              <w:jc w:val="both"/>
              <w:rPr>
                <w:rFonts w:ascii="Arial" w:hAnsi="Arial" w:cs="Arial"/>
                <w:color w:val="auto"/>
              </w:rPr>
            </w:pPr>
            <w:r w:rsidRPr="0093789E">
              <w:rPr>
                <w:rFonts w:ascii="Arial" w:hAnsi="Arial" w:cs="Arial"/>
                <w:color w:val="auto"/>
              </w:rPr>
              <w:lastRenderedPageBreak/>
              <w:t xml:space="preserve">Is the content </w:t>
            </w:r>
            <w:r>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ROP </w:t>
            </w:r>
            <w:r w:rsidRPr="0093789E">
              <w:rPr>
                <w:rFonts w:ascii="Arial" w:hAnsi="Arial" w:cs="Arial"/>
                <w:color w:val="auto"/>
              </w:rPr>
              <w:t>regis</w:t>
            </w:r>
            <w:r>
              <w:rPr>
                <w:rFonts w:ascii="Arial" w:hAnsi="Arial" w:cs="Arial"/>
                <w:color w:val="auto"/>
              </w:rPr>
              <w:t xml:space="preserve">tration standard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FE1F23" w:rsidRPr="0093789E" w:rsidTr="00FE1F23">
        <w:tc>
          <w:tcPr>
            <w:tcW w:w="5000" w:type="pct"/>
            <w:shd w:val="clear" w:color="auto" w:fill="auto"/>
          </w:tcPr>
          <w:p w:rsidR="00F4241B" w:rsidRDefault="00F4241B" w:rsidP="00730933">
            <w:pPr>
              <w:pStyle w:val="TableText"/>
              <w:keepNext w:val="0"/>
              <w:spacing w:before="0" w:after="0"/>
              <w:jc w:val="both"/>
              <w:rPr>
                <w:rFonts w:ascii="Arial" w:hAnsi="Arial" w:cs="Arial"/>
                <w:color w:val="auto"/>
              </w:rPr>
            </w:pPr>
          </w:p>
          <w:p w:rsidR="00730933" w:rsidRDefault="00730933" w:rsidP="00730933">
            <w:pPr>
              <w:pStyle w:val="TableText"/>
              <w:keepNext w:val="0"/>
              <w:spacing w:before="0" w:after="0"/>
              <w:jc w:val="both"/>
              <w:rPr>
                <w:rFonts w:ascii="Arial" w:hAnsi="Arial" w:cs="Arial"/>
                <w:color w:val="auto"/>
              </w:rPr>
            </w:pPr>
            <w:r>
              <w:rPr>
                <w:rFonts w:ascii="Arial" w:hAnsi="Arial" w:cs="Arial"/>
                <w:color w:val="auto"/>
              </w:rPr>
              <w:t>In COCA’s opinion, while the current draft is an improvement over the current standard, significant changes are require</w:t>
            </w:r>
            <w:r w:rsidR="00F4241B">
              <w:rPr>
                <w:rFonts w:ascii="Arial" w:hAnsi="Arial" w:cs="Arial"/>
                <w:color w:val="auto"/>
              </w:rPr>
              <w:t>d in order to make the</w:t>
            </w:r>
            <w:r>
              <w:rPr>
                <w:rFonts w:ascii="Arial" w:hAnsi="Arial" w:cs="Arial"/>
                <w:color w:val="auto"/>
              </w:rPr>
              <w:t xml:space="preserve"> standard clearer and more effective.</w:t>
            </w: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FE1F23">
        <w:tc>
          <w:tcPr>
            <w:tcW w:w="5000" w:type="pct"/>
            <w:shd w:val="clear" w:color="auto" w:fill="DAEEF3" w:themeFill="accent5" w:themeFillTint="33"/>
          </w:tcPr>
          <w:p w:rsidR="00FE1F23" w:rsidRPr="001A6FF0" w:rsidRDefault="00FE1F23" w:rsidP="00FE1F23">
            <w:pPr>
              <w:pStyle w:val="TableText"/>
              <w:keepNext w:val="0"/>
              <w:numPr>
                <w:ilvl w:val="0"/>
                <w:numId w:val="16"/>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ROP </w:t>
            </w:r>
            <w:r w:rsidRPr="0093789E">
              <w:rPr>
                <w:rFonts w:ascii="Arial" w:hAnsi="Arial" w:cs="Arial"/>
                <w:color w:val="auto"/>
              </w:rPr>
              <w:t>registration standard?</w:t>
            </w:r>
          </w:p>
        </w:tc>
      </w:tr>
      <w:tr w:rsidR="00FE1F23" w:rsidRPr="0093789E" w:rsidTr="00FE1F23">
        <w:tc>
          <w:tcPr>
            <w:tcW w:w="5000" w:type="pct"/>
          </w:tcPr>
          <w:p w:rsidR="00730933" w:rsidRDefault="00730933" w:rsidP="00730933">
            <w:pPr>
              <w:pStyle w:val="TableText"/>
              <w:keepNext w:val="0"/>
              <w:spacing w:before="0" w:after="0"/>
              <w:jc w:val="both"/>
              <w:rPr>
                <w:rFonts w:ascii="Arial" w:hAnsi="Arial" w:cs="Arial"/>
                <w:color w:val="auto"/>
              </w:rPr>
            </w:pPr>
          </w:p>
          <w:p w:rsidR="00730933" w:rsidRDefault="00730933" w:rsidP="00730933">
            <w:pPr>
              <w:pStyle w:val="TableText"/>
              <w:keepNext w:val="0"/>
              <w:spacing w:before="0" w:after="0"/>
              <w:jc w:val="both"/>
              <w:rPr>
                <w:rFonts w:ascii="Arial" w:hAnsi="Arial" w:cs="Arial"/>
                <w:color w:val="auto"/>
              </w:rPr>
            </w:pPr>
            <w:r>
              <w:rPr>
                <w:rFonts w:ascii="Arial" w:hAnsi="Arial" w:cs="Arial"/>
                <w:color w:val="auto"/>
              </w:rPr>
              <w:t xml:space="preserve">COCA agrees with the Board that Option 2 is the preferred option but in our opinion further amendments are required </w:t>
            </w:r>
            <w:r w:rsidR="00813FD3">
              <w:rPr>
                <w:rFonts w:ascii="Arial" w:hAnsi="Arial" w:cs="Arial"/>
                <w:color w:val="auto"/>
              </w:rPr>
              <w:t xml:space="preserve">for clarity and </w:t>
            </w:r>
            <w:r>
              <w:rPr>
                <w:rFonts w:ascii="Arial" w:hAnsi="Arial" w:cs="Arial"/>
                <w:color w:val="auto"/>
              </w:rPr>
              <w:t xml:space="preserve">in order to fulfil the Board’s mandate of protecting the public. </w:t>
            </w:r>
          </w:p>
          <w:p w:rsidR="00730933" w:rsidRDefault="00730933" w:rsidP="00730933">
            <w:pPr>
              <w:pStyle w:val="TableText"/>
              <w:keepNext w:val="0"/>
              <w:spacing w:before="0" w:after="0"/>
              <w:jc w:val="both"/>
              <w:rPr>
                <w:rFonts w:ascii="Arial" w:hAnsi="Arial" w:cs="Arial"/>
                <w:color w:val="auto"/>
              </w:rPr>
            </w:pPr>
          </w:p>
          <w:p w:rsidR="00813FD3" w:rsidRDefault="00813FD3" w:rsidP="00813FD3">
            <w:pPr>
              <w:pStyle w:val="TableText"/>
              <w:keepNext w:val="0"/>
              <w:spacing w:before="0" w:after="0"/>
              <w:jc w:val="both"/>
              <w:rPr>
                <w:rFonts w:ascii="Arial" w:hAnsi="Arial" w:cs="Arial"/>
                <w:szCs w:val="20"/>
              </w:rPr>
            </w:pPr>
            <w:r>
              <w:rPr>
                <w:rFonts w:ascii="Arial" w:hAnsi="Arial" w:cs="Arial"/>
                <w:color w:val="auto"/>
              </w:rPr>
              <w:t>The draft standard is confusing, in that while it defines “clinical practice” it fails to define “non-clinical practice. The standard “</w:t>
            </w:r>
            <w:r w:rsidRPr="005F5E7F">
              <w:rPr>
                <w:rFonts w:ascii="Arial" w:eastAsiaTheme="minorHAnsi" w:hAnsi="Arial" w:cs="Arial"/>
                <w:szCs w:val="20"/>
              </w:rPr>
              <w:t>applies to all registered osteopaths except those with student or non-practising registration</w:t>
            </w:r>
            <w:r>
              <w:rPr>
                <w:rFonts w:ascii="Arial" w:eastAsiaTheme="minorHAnsi" w:hAnsi="Arial" w:cs="Arial"/>
                <w:szCs w:val="20"/>
              </w:rPr>
              <w:t xml:space="preserve">” but does not take into account osteopaths who practice in a non-clinical domain </w:t>
            </w:r>
            <w:r w:rsidRPr="000B70AC">
              <w:rPr>
                <w:rFonts w:ascii="Arial" w:eastAsiaTheme="minorHAnsi" w:hAnsi="Arial" w:cs="Arial"/>
                <w:szCs w:val="20"/>
              </w:rPr>
              <w:t xml:space="preserve">i.e. </w:t>
            </w:r>
            <w:r w:rsidRPr="000B70AC">
              <w:rPr>
                <w:rFonts w:ascii="Arial" w:hAnsi="Arial" w:cs="Arial"/>
                <w:szCs w:val="20"/>
              </w:rPr>
              <w:t>such as where no direct clinical care or oversight is provided</w:t>
            </w:r>
            <w:r>
              <w:rPr>
                <w:rFonts w:ascii="Arial" w:hAnsi="Arial" w:cs="Arial"/>
                <w:szCs w:val="20"/>
              </w:rPr>
              <w:t xml:space="preserve">. </w:t>
            </w:r>
          </w:p>
          <w:p w:rsidR="00813FD3" w:rsidRDefault="00813FD3" w:rsidP="00813FD3">
            <w:pPr>
              <w:pStyle w:val="TableText"/>
              <w:spacing w:after="0"/>
              <w:jc w:val="both"/>
              <w:rPr>
                <w:rFonts w:ascii="Arial" w:hAnsi="Arial" w:cs="Arial"/>
                <w:color w:val="auto"/>
              </w:rPr>
            </w:pPr>
            <w:r>
              <w:rPr>
                <w:rFonts w:ascii="Arial" w:hAnsi="Arial" w:cs="Arial"/>
                <w:color w:val="auto"/>
              </w:rPr>
              <w:t xml:space="preserve">In order to make the draft </w:t>
            </w:r>
            <w:proofErr w:type="gramStart"/>
            <w:r>
              <w:rPr>
                <w:rFonts w:ascii="Arial" w:hAnsi="Arial" w:cs="Arial"/>
                <w:color w:val="auto"/>
              </w:rPr>
              <w:t>more clear</w:t>
            </w:r>
            <w:proofErr w:type="gramEnd"/>
            <w:r>
              <w:rPr>
                <w:rFonts w:ascii="Arial" w:hAnsi="Arial" w:cs="Arial"/>
                <w:color w:val="auto"/>
              </w:rPr>
              <w:t xml:space="preserve"> and workable</w:t>
            </w:r>
            <w:r w:rsidR="00F4241B">
              <w:rPr>
                <w:rFonts w:ascii="Arial" w:hAnsi="Arial" w:cs="Arial"/>
                <w:color w:val="auto"/>
              </w:rPr>
              <w:t>,</w:t>
            </w:r>
            <w:r>
              <w:rPr>
                <w:rFonts w:ascii="Arial" w:hAnsi="Arial" w:cs="Arial"/>
                <w:color w:val="auto"/>
              </w:rPr>
              <w:t xml:space="preserve"> “non-clinical” should be defined and the standard should provide examples of “non-clinical” practice. </w:t>
            </w:r>
          </w:p>
          <w:p w:rsidR="00813FD3" w:rsidRDefault="00813FD3" w:rsidP="00813FD3">
            <w:pPr>
              <w:pStyle w:val="TableText"/>
              <w:spacing w:after="0"/>
              <w:jc w:val="both"/>
              <w:rPr>
                <w:rFonts w:ascii="Arial" w:hAnsi="Arial" w:cs="Arial"/>
                <w:color w:val="auto"/>
              </w:rPr>
            </w:pPr>
            <w:r>
              <w:rPr>
                <w:rFonts w:ascii="Arial" w:hAnsi="Arial" w:cs="Arial"/>
                <w:color w:val="auto"/>
              </w:rPr>
              <w:t xml:space="preserve">Further, those osteopaths not involved in “clinical practice” should be afforded less onerous Recency of Practice requirements. </w:t>
            </w:r>
            <w:r w:rsidRPr="00DE10A4">
              <w:rPr>
                <w:rFonts w:ascii="Arial" w:hAnsi="Arial" w:cs="Arial"/>
                <w:color w:val="auto"/>
              </w:rPr>
              <w:t>Non-clinical practice, by virtue of its definition, does not involve activities that may have an impact of risk, patient safety or health outcomes, unless they are related to teaching and instruction on matters pe</w:t>
            </w:r>
            <w:r>
              <w:rPr>
                <w:rFonts w:ascii="Arial" w:hAnsi="Arial" w:cs="Arial"/>
                <w:color w:val="auto"/>
              </w:rPr>
              <w:t xml:space="preserve">rtaining to clinical practice. </w:t>
            </w:r>
            <w:r w:rsidRPr="00DE10A4">
              <w:rPr>
                <w:rFonts w:ascii="Arial" w:hAnsi="Arial" w:cs="Arial"/>
                <w:color w:val="auto"/>
              </w:rPr>
              <w:t>In such circumstances</w:t>
            </w:r>
            <w:r>
              <w:rPr>
                <w:rFonts w:ascii="Arial" w:hAnsi="Arial" w:cs="Arial"/>
                <w:color w:val="auto"/>
              </w:rPr>
              <w:t>,</w:t>
            </w:r>
            <w:r w:rsidRPr="00DE10A4">
              <w:rPr>
                <w:rFonts w:ascii="Arial" w:hAnsi="Arial" w:cs="Arial"/>
                <w:color w:val="auto"/>
              </w:rPr>
              <w:t xml:space="preserve"> where non-clinical practice has no relevance to </w:t>
            </w:r>
            <w:r w:rsidR="00F4241B">
              <w:rPr>
                <w:rFonts w:ascii="Arial" w:hAnsi="Arial" w:cs="Arial"/>
                <w:color w:val="auto"/>
              </w:rPr>
              <w:t>patient safety or health outcomes,</w:t>
            </w:r>
            <w:r w:rsidRPr="00DE10A4">
              <w:rPr>
                <w:rFonts w:ascii="Arial" w:hAnsi="Arial" w:cs="Arial"/>
                <w:color w:val="auto"/>
              </w:rPr>
              <w:t xml:space="preserve"> the hourly requirement should be reviewed and reduced to a standard below of that required for clinical practice. </w:t>
            </w:r>
          </w:p>
          <w:p w:rsidR="00813FD3" w:rsidRDefault="00813FD3" w:rsidP="00813FD3">
            <w:pPr>
              <w:pStyle w:val="TableText"/>
              <w:spacing w:after="0"/>
              <w:jc w:val="both"/>
              <w:rPr>
                <w:rFonts w:ascii="Arial" w:hAnsi="Arial" w:cs="Arial"/>
                <w:color w:val="auto"/>
              </w:rPr>
            </w:pPr>
            <w:r>
              <w:rPr>
                <w:rFonts w:ascii="Arial" w:hAnsi="Arial" w:cs="Arial"/>
                <w:color w:val="auto"/>
              </w:rPr>
              <w:t xml:space="preserve">The draft standard requires osteopaths to have practiced as an osteopath in their current domain of practice for at least 450 hours in the previous three years. While it is noted that the hourly requirement has increased from 400 hours to 450 hours, COCA does not believe this is an adequate period in which to maintain practice skills. Averaged out over three years the draft standard would require </w:t>
            </w:r>
            <w:r w:rsidRPr="00DE10A4">
              <w:rPr>
                <w:rFonts w:ascii="Arial" w:hAnsi="Arial" w:cs="Arial"/>
                <w:color w:val="auto"/>
              </w:rPr>
              <w:t xml:space="preserve">a little over 3 hours </w:t>
            </w:r>
            <w:r w:rsidR="00F4241B">
              <w:rPr>
                <w:rFonts w:ascii="Arial" w:hAnsi="Arial" w:cs="Arial"/>
                <w:color w:val="auto"/>
              </w:rPr>
              <w:t xml:space="preserve">of practise </w:t>
            </w:r>
            <w:r w:rsidRPr="00DE10A4">
              <w:rPr>
                <w:rFonts w:ascii="Arial" w:hAnsi="Arial" w:cs="Arial"/>
                <w:color w:val="auto"/>
              </w:rPr>
              <w:t>per week</w:t>
            </w:r>
            <w:r w:rsidR="00F4241B">
              <w:rPr>
                <w:rFonts w:ascii="Arial" w:hAnsi="Arial" w:cs="Arial"/>
                <w:color w:val="auto"/>
              </w:rPr>
              <w:t>,</w:t>
            </w:r>
            <w:r>
              <w:rPr>
                <w:rFonts w:ascii="Arial" w:hAnsi="Arial" w:cs="Arial"/>
                <w:color w:val="auto"/>
              </w:rPr>
              <w:t xml:space="preserve"> per year</w:t>
            </w:r>
            <w:r w:rsidRPr="00DE10A4">
              <w:rPr>
                <w:rFonts w:ascii="Arial" w:hAnsi="Arial" w:cs="Arial"/>
                <w:color w:val="auto"/>
              </w:rPr>
              <w:t>. In our view the skills and know</w:t>
            </w:r>
            <w:r>
              <w:rPr>
                <w:rFonts w:ascii="Arial" w:hAnsi="Arial" w:cs="Arial"/>
                <w:color w:val="auto"/>
              </w:rPr>
              <w:t>ledge required for osteopaths</w:t>
            </w:r>
            <w:r w:rsidRPr="00DE10A4">
              <w:rPr>
                <w:rFonts w:ascii="Arial" w:hAnsi="Arial" w:cs="Arial"/>
                <w:color w:val="auto"/>
              </w:rPr>
              <w:t xml:space="preserve"> to be safe and competent in “practice” cannot be maintained under such conditions. </w:t>
            </w:r>
          </w:p>
          <w:p w:rsidR="00813FD3" w:rsidRPr="00DB5249" w:rsidRDefault="00813FD3" w:rsidP="00813FD3">
            <w:pPr>
              <w:pStyle w:val="TableText"/>
              <w:spacing w:after="0"/>
              <w:jc w:val="both"/>
              <w:rPr>
                <w:rFonts w:ascii="Arial" w:hAnsi="Arial" w:cs="Arial"/>
                <w:color w:val="auto"/>
              </w:rPr>
            </w:pPr>
            <w:r>
              <w:rPr>
                <w:rFonts w:ascii="Arial" w:hAnsi="Arial" w:cs="Arial"/>
                <w:color w:val="auto"/>
              </w:rPr>
              <w:t>The draft standard states that recent graduates are exempt from this standard, when applying for registration for the first time, if they graduated within six months from applying for registration. COCA is of the opinion</w:t>
            </w:r>
            <w:r w:rsidR="00F4241B">
              <w:rPr>
                <w:rFonts w:ascii="Arial" w:hAnsi="Arial" w:cs="Arial"/>
                <w:color w:val="auto"/>
              </w:rPr>
              <w:t>,</w:t>
            </w:r>
            <w:r>
              <w:rPr>
                <w:rFonts w:ascii="Arial" w:hAnsi="Arial" w:cs="Arial"/>
                <w:color w:val="auto"/>
              </w:rPr>
              <w:t xml:space="preserve"> that such a short period after graduation is overly restrictive and the period should be extended to twelve months, provided that the balance of standard’s hourly requirement be met within the first three years of practice.</w:t>
            </w:r>
          </w:p>
          <w:p w:rsidR="00813FD3" w:rsidRDefault="00813FD3" w:rsidP="00813FD3">
            <w:pPr>
              <w:pStyle w:val="TableText"/>
              <w:spacing w:after="0"/>
              <w:jc w:val="both"/>
              <w:rPr>
                <w:rFonts w:ascii="Arial" w:hAnsi="Arial" w:cs="Arial"/>
                <w:color w:val="auto"/>
              </w:rPr>
            </w:pPr>
            <w:r w:rsidRPr="00933DEA">
              <w:rPr>
                <w:rFonts w:ascii="Arial" w:hAnsi="Arial" w:cs="Arial"/>
              </w:rPr>
              <w:t xml:space="preserve">The draft standard also fails to specify a period of absence from practice that would </w:t>
            </w:r>
            <w:r>
              <w:rPr>
                <w:rFonts w:ascii="Arial" w:hAnsi="Arial" w:cs="Arial"/>
              </w:rPr>
              <w:t xml:space="preserve">automatically </w:t>
            </w:r>
            <w:r w:rsidRPr="00933DEA">
              <w:rPr>
                <w:rFonts w:ascii="Arial" w:hAnsi="Arial" w:cs="Arial"/>
              </w:rPr>
              <w:t xml:space="preserve">require an </w:t>
            </w:r>
            <w:r>
              <w:rPr>
                <w:rFonts w:ascii="Arial" w:hAnsi="Arial" w:cs="Arial"/>
              </w:rPr>
              <w:t xml:space="preserve">osteopath to undergo a review of their </w:t>
            </w:r>
            <w:proofErr w:type="spellStart"/>
            <w:r>
              <w:rPr>
                <w:rFonts w:ascii="Arial" w:hAnsi="Arial" w:cs="Arial"/>
              </w:rPr>
              <w:t>recency</w:t>
            </w:r>
            <w:proofErr w:type="spellEnd"/>
            <w:r>
              <w:rPr>
                <w:rFonts w:ascii="Arial" w:hAnsi="Arial" w:cs="Arial"/>
              </w:rPr>
              <w:t xml:space="preserve"> of practice conditions. Under the proposed standard an osteopath may be </w:t>
            </w:r>
            <w:r>
              <w:rPr>
                <w:rFonts w:ascii="Arial" w:hAnsi="Arial" w:cs="Arial"/>
                <w:color w:val="auto"/>
              </w:rPr>
              <w:t>absent from practice for two years and still satisfy the standard by completing the 450 hour requirement</w:t>
            </w:r>
            <w:r w:rsidR="00F4241B">
              <w:rPr>
                <w:rFonts w:ascii="Arial" w:hAnsi="Arial" w:cs="Arial"/>
                <w:color w:val="auto"/>
              </w:rPr>
              <w:t>,</w:t>
            </w:r>
            <w:r>
              <w:rPr>
                <w:rFonts w:ascii="Arial" w:hAnsi="Arial" w:cs="Arial"/>
                <w:color w:val="auto"/>
              </w:rPr>
              <w:t xml:space="preserve"> in the last year of the stipulated three year period. In COCA’s view such a situation is not conducive to maintaining practice competency. Therefore COCA suggests that in circumstances, where an osteopath has been absent from practice for a period of two or more years that they be required to undergo a period of supervised practice, as determined by the Board taking into account all other relevant matters.</w:t>
            </w:r>
          </w:p>
          <w:p w:rsidR="00730933" w:rsidRDefault="00730933" w:rsidP="00730933">
            <w:pPr>
              <w:pStyle w:val="TableText"/>
              <w:keepNext w:val="0"/>
              <w:spacing w:before="0" w:after="0"/>
              <w:jc w:val="both"/>
              <w:rPr>
                <w:rFonts w:ascii="Arial" w:hAnsi="Arial" w:cs="Arial"/>
                <w:color w:val="auto"/>
              </w:rPr>
            </w:pPr>
          </w:p>
          <w:p w:rsidR="00C26955" w:rsidRPr="00646D65" w:rsidRDefault="00C26955" w:rsidP="00C26955">
            <w:pPr>
              <w:rPr>
                <w:rFonts w:ascii="Arial" w:hAnsi="Arial" w:cs="Arial"/>
                <w:sz w:val="20"/>
                <w:szCs w:val="20"/>
              </w:rPr>
            </w:pPr>
            <w:r>
              <w:rPr>
                <w:rFonts w:ascii="Arial" w:hAnsi="Arial" w:cs="Arial"/>
                <w:sz w:val="20"/>
                <w:szCs w:val="20"/>
              </w:rPr>
              <w:t>As detailed previously, this and other standards of practice Include</w:t>
            </w:r>
            <w:r w:rsidRPr="00646D65">
              <w:rPr>
                <w:rFonts w:ascii="Arial" w:hAnsi="Arial" w:cs="Arial"/>
                <w:sz w:val="20"/>
                <w:szCs w:val="20"/>
              </w:rPr>
              <w:t xml:space="preserve"> in the definition of “practice”, </w:t>
            </w:r>
            <w:r>
              <w:rPr>
                <w:rFonts w:ascii="Arial" w:hAnsi="Arial" w:cs="Arial"/>
                <w:sz w:val="20"/>
                <w:szCs w:val="20"/>
              </w:rPr>
              <w:t xml:space="preserve">activities </w:t>
            </w:r>
            <w:r w:rsidRPr="00646D65">
              <w:rPr>
                <w:rFonts w:ascii="Arial" w:hAnsi="Arial" w:cs="Arial"/>
                <w:sz w:val="20"/>
                <w:szCs w:val="20"/>
              </w:rPr>
              <w:t>such as “working in management”, “administration” and “regulatory of policy development roles”. While it is possible that some of these roles may indirectly or directly impact on the safe and effective delivery of osteopathic services, there would be many instances where the</w:t>
            </w:r>
            <w:r>
              <w:rPr>
                <w:rFonts w:ascii="Arial" w:hAnsi="Arial" w:cs="Arial"/>
                <w:sz w:val="20"/>
                <w:szCs w:val="20"/>
              </w:rPr>
              <w:t xml:space="preserve">se roles </w:t>
            </w:r>
            <w:proofErr w:type="gramStart"/>
            <w:r>
              <w:rPr>
                <w:rFonts w:ascii="Arial" w:hAnsi="Arial" w:cs="Arial"/>
                <w:sz w:val="20"/>
                <w:szCs w:val="20"/>
              </w:rPr>
              <w:t xml:space="preserve">would </w:t>
            </w:r>
            <w:r w:rsidRPr="00646D65">
              <w:rPr>
                <w:rFonts w:ascii="Arial" w:hAnsi="Arial" w:cs="Arial"/>
                <w:sz w:val="20"/>
                <w:szCs w:val="20"/>
              </w:rPr>
              <w:t xml:space="preserve"> be</w:t>
            </w:r>
            <w:proofErr w:type="gramEnd"/>
            <w:r w:rsidRPr="00646D65">
              <w:rPr>
                <w:rFonts w:ascii="Arial" w:hAnsi="Arial" w:cs="Arial"/>
                <w:sz w:val="20"/>
                <w:szCs w:val="20"/>
              </w:rPr>
              <w:t xml:space="preserve"> irrelevant for </w:t>
            </w:r>
            <w:r>
              <w:rPr>
                <w:rFonts w:ascii="Arial" w:hAnsi="Arial" w:cs="Arial"/>
                <w:sz w:val="20"/>
                <w:szCs w:val="20"/>
              </w:rPr>
              <w:t>Recency of Practice purposes, such as administrative</w:t>
            </w:r>
            <w:r w:rsidRPr="00646D65">
              <w:rPr>
                <w:rFonts w:ascii="Arial" w:hAnsi="Arial" w:cs="Arial"/>
                <w:sz w:val="20"/>
                <w:szCs w:val="20"/>
              </w:rPr>
              <w:t xml:space="preserve"> positions,</w:t>
            </w:r>
            <w:r w:rsidR="00F4241B">
              <w:rPr>
                <w:rFonts w:ascii="Arial" w:hAnsi="Arial" w:cs="Arial"/>
                <w:sz w:val="20"/>
                <w:szCs w:val="20"/>
              </w:rPr>
              <w:t xml:space="preserve"> where the work involved has no</w:t>
            </w:r>
            <w:r w:rsidRPr="00646D65">
              <w:rPr>
                <w:rFonts w:ascii="Arial" w:hAnsi="Arial" w:cs="Arial"/>
                <w:sz w:val="20"/>
                <w:szCs w:val="20"/>
              </w:rPr>
              <w:t xml:space="preserve"> bearing or</w:t>
            </w:r>
            <w:r w:rsidR="00F4241B">
              <w:rPr>
                <w:rFonts w:ascii="Arial" w:hAnsi="Arial" w:cs="Arial"/>
                <w:sz w:val="20"/>
                <w:szCs w:val="20"/>
              </w:rPr>
              <w:t xml:space="preserve"> influence on patient safety or</w:t>
            </w:r>
            <w:r w:rsidRPr="00646D65">
              <w:rPr>
                <w:rFonts w:ascii="Arial" w:hAnsi="Arial" w:cs="Arial"/>
                <w:sz w:val="20"/>
                <w:szCs w:val="20"/>
              </w:rPr>
              <w:t xml:space="preserve"> health outcomes. </w:t>
            </w:r>
          </w:p>
          <w:p w:rsidR="00C26955" w:rsidRDefault="00C26955" w:rsidP="00C26955">
            <w:pPr>
              <w:pStyle w:val="TableText"/>
              <w:keepNext w:val="0"/>
              <w:spacing w:before="0" w:after="0"/>
              <w:jc w:val="both"/>
              <w:rPr>
                <w:rFonts w:ascii="Arial" w:hAnsi="Arial" w:cs="Arial"/>
                <w:iCs/>
                <w:szCs w:val="20"/>
              </w:rPr>
            </w:pPr>
            <w:r w:rsidRPr="00646D65">
              <w:rPr>
                <w:rFonts w:ascii="Arial" w:hAnsi="Arial" w:cs="Arial"/>
                <w:szCs w:val="20"/>
              </w:rPr>
              <w:lastRenderedPageBreak/>
              <w:t>In this context, COCA refers the Board to AHPRA’s previous “preliminary consultation on the definition of practice, issued in August 2011, and suggests the alternative definition of practice contained in that document, “</w:t>
            </w:r>
            <w:r w:rsidRPr="00646D65">
              <w:rPr>
                <w:rFonts w:ascii="Arial" w:hAnsi="Arial" w:cs="Arial"/>
                <w:b/>
                <w:bCs/>
                <w:i/>
                <w:iCs/>
                <w:szCs w:val="20"/>
              </w:rPr>
              <w:t xml:space="preserve">Practice </w:t>
            </w:r>
            <w:r w:rsidRPr="00646D65">
              <w:rPr>
                <w:rFonts w:ascii="Arial" w:hAnsi="Arial" w:cs="Arial"/>
                <w:i/>
                <w:iCs/>
                <w:szCs w:val="20"/>
              </w:rPr>
              <w:t xml:space="preserve">means any role in which the individual uses their skills and knowledge as a health practitioner in their profession in any way that impacts on safe, effective delivery of health services”, </w:t>
            </w:r>
            <w:r w:rsidRPr="00646D65">
              <w:rPr>
                <w:rFonts w:ascii="Arial" w:hAnsi="Arial" w:cs="Arial"/>
                <w:iCs/>
                <w:szCs w:val="20"/>
              </w:rPr>
              <w:t>is better suited</w:t>
            </w:r>
            <w:r w:rsidRPr="00646D65">
              <w:rPr>
                <w:rFonts w:ascii="Arial" w:hAnsi="Arial" w:cs="Arial"/>
                <w:i/>
                <w:iCs/>
                <w:szCs w:val="20"/>
              </w:rPr>
              <w:t xml:space="preserve"> </w:t>
            </w:r>
            <w:r>
              <w:rPr>
                <w:rFonts w:ascii="Arial" w:hAnsi="Arial" w:cs="Arial"/>
                <w:iCs/>
                <w:szCs w:val="20"/>
              </w:rPr>
              <w:t>for this practice standard.</w:t>
            </w:r>
          </w:p>
          <w:p w:rsidR="00FE1F23" w:rsidRDefault="00FE1F23" w:rsidP="00FE1F23">
            <w:pPr>
              <w:pStyle w:val="TableText"/>
              <w:keepNext w:val="0"/>
              <w:spacing w:before="0" w:after="0"/>
              <w:jc w:val="both"/>
              <w:rPr>
                <w:rFonts w:ascii="Arial" w:hAnsi="Arial" w:cs="Arial"/>
                <w:color w:val="auto"/>
              </w:rPr>
            </w:pP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FE1F23">
        <w:tc>
          <w:tcPr>
            <w:tcW w:w="5000" w:type="pct"/>
            <w:shd w:val="clear" w:color="auto" w:fill="DAEEF3" w:themeFill="accent5" w:themeFillTint="33"/>
          </w:tcPr>
          <w:p w:rsidR="00FE1F23" w:rsidRPr="0093789E" w:rsidRDefault="00FE1F23" w:rsidP="00FE1F23">
            <w:pPr>
              <w:pStyle w:val="TableText"/>
              <w:keepNext w:val="0"/>
              <w:numPr>
                <w:ilvl w:val="0"/>
                <w:numId w:val="16"/>
              </w:numPr>
              <w:spacing w:before="0" w:after="0"/>
              <w:jc w:val="both"/>
              <w:rPr>
                <w:rFonts w:ascii="Arial" w:hAnsi="Arial" w:cs="Arial"/>
                <w:color w:val="auto"/>
              </w:rPr>
            </w:pPr>
            <w:r w:rsidRPr="0093789E">
              <w:rPr>
                <w:rFonts w:ascii="Arial" w:hAnsi="Arial" w:cs="Arial"/>
                <w:color w:val="auto"/>
              </w:rPr>
              <w:lastRenderedPageBreak/>
              <w:t>Is there anything missing that needs to be added to the</w:t>
            </w:r>
            <w:r>
              <w:rPr>
                <w:rFonts w:ascii="Arial" w:hAnsi="Arial" w:cs="Arial"/>
                <w:color w:val="auto"/>
              </w:rPr>
              <w:t xml:space="preserve"> draft revised</w:t>
            </w:r>
            <w:r w:rsidRPr="0093789E">
              <w:rPr>
                <w:rFonts w:ascii="Arial" w:hAnsi="Arial" w:cs="Arial"/>
                <w:color w:val="auto"/>
              </w:rPr>
              <w:t xml:space="preserve"> </w:t>
            </w:r>
            <w:r>
              <w:rPr>
                <w:rFonts w:ascii="Arial" w:hAnsi="Arial" w:cs="Arial"/>
                <w:color w:val="auto"/>
              </w:rPr>
              <w:t xml:space="preserve">ROP </w:t>
            </w:r>
            <w:r w:rsidRPr="0093789E">
              <w:rPr>
                <w:rFonts w:ascii="Arial" w:hAnsi="Arial" w:cs="Arial"/>
                <w:color w:val="auto"/>
              </w:rPr>
              <w:t>registration standard?</w:t>
            </w:r>
          </w:p>
        </w:tc>
      </w:tr>
      <w:tr w:rsidR="00FE1F23" w:rsidRPr="0093789E" w:rsidTr="00FE1F23">
        <w:tc>
          <w:tcPr>
            <w:tcW w:w="5000" w:type="pct"/>
          </w:tcPr>
          <w:p w:rsidR="00FE1F23" w:rsidRDefault="00FE1F23" w:rsidP="00FE1F23">
            <w:pPr>
              <w:pStyle w:val="TableText"/>
              <w:keepNext w:val="0"/>
              <w:spacing w:before="0" w:after="0"/>
              <w:jc w:val="both"/>
              <w:rPr>
                <w:rFonts w:ascii="Arial" w:hAnsi="Arial" w:cs="Arial"/>
                <w:color w:val="auto"/>
              </w:rPr>
            </w:pPr>
          </w:p>
          <w:p w:rsidR="00813FD3" w:rsidRDefault="00813FD3" w:rsidP="00813FD3">
            <w:pPr>
              <w:pStyle w:val="TableText"/>
              <w:keepNext w:val="0"/>
              <w:spacing w:before="0" w:after="0"/>
              <w:jc w:val="both"/>
              <w:rPr>
                <w:rFonts w:ascii="Arial" w:hAnsi="Arial" w:cs="Arial"/>
                <w:color w:val="auto"/>
              </w:rPr>
            </w:pPr>
            <w:r>
              <w:rPr>
                <w:rFonts w:ascii="Arial" w:hAnsi="Arial" w:cs="Arial"/>
                <w:color w:val="auto"/>
              </w:rPr>
              <w:t>See above</w:t>
            </w: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FE1F23">
        <w:tc>
          <w:tcPr>
            <w:tcW w:w="5000" w:type="pct"/>
            <w:shd w:val="clear" w:color="auto" w:fill="DAEEF3" w:themeFill="accent5" w:themeFillTint="33"/>
          </w:tcPr>
          <w:p w:rsidR="00FE1F23" w:rsidRPr="00FE1F23" w:rsidRDefault="00FE1F23" w:rsidP="007D7B6F">
            <w:pPr>
              <w:pStyle w:val="ListParagraph"/>
              <w:numPr>
                <w:ilvl w:val="0"/>
                <w:numId w:val="16"/>
              </w:numPr>
              <w:spacing w:line="240" w:lineRule="auto"/>
              <w:rPr>
                <w:rFonts w:ascii="Arial" w:hAnsi="Arial" w:cs="Arial"/>
                <w:sz w:val="20"/>
                <w:szCs w:val="20"/>
              </w:rPr>
            </w:pPr>
            <w:r w:rsidRPr="00FE1F23">
              <w:rPr>
                <w:rFonts w:ascii="Arial" w:hAnsi="Arial" w:cs="Arial"/>
                <w:sz w:val="20"/>
                <w:szCs w:val="20"/>
              </w:rPr>
              <w:t xml:space="preserve">Do you have feedback on </w:t>
            </w:r>
            <w:r w:rsidR="007D7B6F">
              <w:rPr>
                <w:rFonts w:ascii="Arial" w:hAnsi="Arial" w:cs="Arial"/>
                <w:sz w:val="20"/>
                <w:szCs w:val="20"/>
              </w:rPr>
              <w:t>the definition of a recent graduate</w:t>
            </w:r>
            <w:r w:rsidRPr="00FE1F23">
              <w:rPr>
                <w:rFonts w:ascii="Arial" w:hAnsi="Arial" w:cs="Arial"/>
              </w:rPr>
              <w:t>?</w:t>
            </w:r>
          </w:p>
        </w:tc>
      </w:tr>
      <w:tr w:rsidR="00FE1F23" w:rsidRPr="0093789E" w:rsidTr="00FE1F23">
        <w:tc>
          <w:tcPr>
            <w:tcW w:w="5000" w:type="pct"/>
          </w:tcPr>
          <w:p w:rsidR="00FE1F23" w:rsidRDefault="00FE1F23" w:rsidP="00FE1F23">
            <w:pPr>
              <w:pStyle w:val="TableText"/>
              <w:keepNext w:val="0"/>
              <w:spacing w:before="0" w:after="0"/>
              <w:jc w:val="both"/>
              <w:rPr>
                <w:rFonts w:ascii="Arial" w:hAnsi="Arial" w:cs="Arial"/>
                <w:color w:val="auto"/>
              </w:rPr>
            </w:pPr>
          </w:p>
          <w:p w:rsidR="00813FD3" w:rsidRDefault="00813FD3" w:rsidP="00813FD3">
            <w:pPr>
              <w:pStyle w:val="TableText"/>
              <w:keepNext w:val="0"/>
              <w:spacing w:before="0" w:after="0"/>
              <w:jc w:val="both"/>
              <w:rPr>
                <w:rFonts w:ascii="Arial" w:hAnsi="Arial" w:cs="Arial"/>
                <w:color w:val="auto"/>
              </w:rPr>
            </w:pPr>
            <w:r>
              <w:rPr>
                <w:rFonts w:ascii="Arial" w:hAnsi="Arial" w:cs="Arial"/>
                <w:color w:val="auto"/>
              </w:rPr>
              <w:t>COCA suggest</w:t>
            </w:r>
            <w:r w:rsidR="00C26955">
              <w:rPr>
                <w:rFonts w:ascii="Arial" w:hAnsi="Arial" w:cs="Arial"/>
                <w:color w:val="auto"/>
              </w:rPr>
              <w:t>s</w:t>
            </w:r>
            <w:r>
              <w:rPr>
                <w:rFonts w:ascii="Arial" w:hAnsi="Arial" w:cs="Arial"/>
                <w:color w:val="auto"/>
              </w:rPr>
              <w:t xml:space="preserve"> this registration standard be reviewed after a minimum of five years.</w:t>
            </w:r>
          </w:p>
          <w:p w:rsidR="00FE1F23" w:rsidRDefault="00FE1F23" w:rsidP="00FE1F23">
            <w:pPr>
              <w:pStyle w:val="TableText"/>
              <w:keepNext w:val="0"/>
              <w:spacing w:before="0" w:after="0"/>
              <w:jc w:val="both"/>
              <w:rPr>
                <w:rFonts w:ascii="Arial" w:hAnsi="Arial" w:cs="Arial"/>
                <w:color w:val="auto"/>
              </w:rPr>
            </w:pPr>
          </w:p>
          <w:p w:rsidR="00FE1F23" w:rsidRPr="0093789E" w:rsidRDefault="00FE1F23" w:rsidP="00FE1F23">
            <w:pPr>
              <w:pStyle w:val="TableText"/>
              <w:keepNext w:val="0"/>
              <w:spacing w:before="0" w:after="0"/>
              <w:jc w:val="both"/>
              <w:rPr>
                <w:rFonts w:ascii="Arial" w:hAnsi="Arial" w:cs="Arial"/>
                <w:color w:val="auto"/>
              </w:rPr>
            </w:pPr>
          </w:p>
        </w:tc>
      </w:tr>
      <w:tr w:rsidR="00FE1F23" w:rsidRPr="0093789E" w:rsidTr="00FE1F23">
        <w:tc>
          <w:tcPr>
            <w:tcW w:w="5000" w:type="pct"/>
            <w:shd w:val="clear" w:color="auto" w:fill="DAEEF3" w:themeFill="accent5" w:themeFillTint="33"/>
          </w:tcPr>
          <w:p w:rsidR="00FE1F23" w:rsidRPr="0093789E" w:rsidRDefault="00FE1F23" w:rsidP="00FE1F23">
            <w:pPr>
              <w:pStyle w:val="TableText"/>
              <w:keepNext w:val="0"/>
              <w:numPr>
                <w:ilvl w:val="0"/>
                <w:numId w:val="16"/>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ROP </w:t>
            </w:r>
            <w:r w:rsidRPr="0093789E">
              <w:rPr>
                <w:rFonts w:ascii="Arial" w:hAnsi="Arial" w:cs="Arial"/>
              </w:rPr>
              <w:t>registration standard?</w:t>
            </w:r>
          </w:p>
        </w:tc>
      </w:tr>
      <w:tr w:rsidR="00FE1F23" w:rsidRPr="0093789E" w:rsidTr="00FE1F23">
        <w:tc>
          <w:tcPr>
            <w:tcW w:w="5000" w:type="pct"/>
          </w:tcPr>
          <w:p w:rsidR="00FE1F23" w:rsidRDefault="00FE1F23" w:rsidP="00FE1F23">
            <w:pPr>
              <w:pStyle w:val="TableText"/>
              <w:keepNext w:val="0"/>
              <w:spacing w:before="0" w:after="0"/>
              <w:jc w:val="both"/>
              <w:rPr>
                <w:rFonts w:ascii="Arial" w:hAnsi="Arial" w:cs="Arial"/>
                <w:color w:val="auto"/>
              </w:rPr>
            </w:pPr>
          </w:p>
          <w:p w:rsidR="00FE1F23" w:rsidRDefault="00813FD3" w:rsidP="00FE1F23">
            <w:pPr>
              <w:pStyle w:val="TableText"/>
              <w:keepNext w:val="0"/>
              <w:spacing w:before="0" w:after="0"/>
              <w:jc w:val="both"/>
              <w:rPr>
                <w:rFonts w:ascii="Arial" w:hAnsi="Arial" w:cs="Arial"/>
                <w:color w:val="auto"/>
              </w:rPr>
            </w:pPr>
            <w:r>
              <w:rPr>
                <w:rFonts w:ascii="Arial" w:hAnsi="Arial" w:cs="Arial"/>
                <w:color w:val="auto"/>
              </w:rPr>
              <w:t>No</w:t>
            </w:r>
          </w:p>
          <w:p w:rsidR="00FE1F23" w:rsidRPr="0093789E" w:rsidRDefault="00FE1F23" w:rsidP="00FE1F23">
            <w:pPr>
              <w:pStyle w:val="TableText"/>
              <w:keepNext w:val="0"/>
              <w:spacing w:before="0" w:after="0"/>
              <w:jc w:val="both"/>
              <w:rPr>
                <w:rFonts w:ascii="Arial" w:hAnsi="Arial" w:cs="Arial"/>
                <w:color w:val="auto"/>
              </w:rPr>
            </w:pPr>
          </w:p>
        </w:tc>
      </w:tr>
    </w:tbl>
    <w:p w:rsidR="00FE1F23" w:rsidRDefault="00FE1F23" w:rsidP="00FE1F23">
      <w:pPr>
        <w:pStyle w:val="TableText"/>
        <w:keepNext w:val="0"/>
        <w:ind w:left="142"/>
        <w:jc w:val="both"/>
        <w:rPr>
          <w:rFonts w:ascii="Arial" w:hAnsi="Arial" w:cs="Arial"/>
          <w:color w:val="auto"/>
          <w:szCs w:val="20"/>
        </w:rPr>
      </w:pPr>
    </w:p>
    <w:p w:rsidR="003136CD" w:rsidRDefault="003136CD" w:rsidP="00A43430">
      <w:pPr>
        <w:pStyle w:val="TableText"/>
        <w:keepNext w:val="0"/>
        <w:ind w:left="142"/>
        <w:jc w:val="both"/>
        <w:rPr>
          <w:rFonts w:ascii="Arial" w:hAnsi="Arial" w:cs="Arial"/>
          <w:color w:val="auto"/>
          <w:szCs w:val="20"/>
        </w:rPr>
      </w:pPr>
    </w:p>
    <w:tbl>
      <w:tblPr>
        <w:tblStyle w:val="TableGrid"/>
        <w:tblW w:w="4942" w:type="pct"/>
        <w:tblInd w:w="108" w:type="dxa"/>
        <w:tblLook w:val="04A0" w:firstRow="1" w:lastRow="0" w:firstColumn="1" w:lastColumn="0" w:noHBand="0" w:noVBand="1"/>
      </w:tblPr>
      <w:tblGrid>
        <w:gridCol w:w="9135"/>
      </w:tblGrid>
      <w:tr w:rsidR="0023733D" w:rsidRPr="0093789E" w:rsidTr="00B12E0A">
        <w:trPr>
          <w:tblHeader/>
        </w:trPr>
        <w:tc>
          <w:tcPr>
            <w:tcW w:w="5000" w:type="pct"/>
            <w:shd w:val="clear" w:color="auto" w:fill="F2F2F2" w:themeFill="background1" w:themeFillShade="F2"/>
          </w:tcPr>
          <w:p w:rsidR="0023733D" w:rsidRDefault="006F7645" w:rsidP="00B950B5">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23733D" w:rsidRPr="0093789E">
              <w:rPr>
                <w:rFonts w:ascii="Arial" w:hAnsi="Arial" w:cs="Arial"/>
                <w:b/>
                <w:color w:val="auto"/>
                <w:szCs w:val="20"/>
              </w:rPr>
              <w:t>Continuing professional development</w:t>
            </w:r>
            <w:r w:rsidR="0023733D">
              <w:rPr>
                <w:rFonts w:ascii="Arial" w:hAnsi="Arial" w:cs="Arial"/>
                <w:b/>
                <w:color w:val="auto"/>
                <w:szCs w:val="20"/>
              </w:rPr>
              <w:t xml:space="preserve"> (CPD) </w:t>
            </w:r>
          </w:p>
          <w:p w:rsidR="003F3C94" w:rsidRPr="0093789E" w:rsidRDefault="003F3C94" w:rsidP="008A32BE">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8A32BE">
              <w:rPr>
                <w:rFonts w:ascii="Arial" w:hAnsi="Arial" w:cs="Arial"/>
                <w:i/>
                <w:color w:val="auto"/>
                <w:szCs w:val="20"/>
              </w:rPr>
              <w:t xml:space="preserve">boxes </w:t>
            </w:r>
            <w:r>
              <w:rPr>
                <w:rFonts w:ascii="Arial" w:hAnsi="Arial" w:cs="Arial"/>
                <w:i/>
                <w:color w:val="auto"/>
                <w:szCs w:val="20"/>
              </w:rPr>
              <w:t>below</w:t>
            </w:r>
          </w:p>
        </w:tc>
      </w:tr>
      <w:tr w:rsidR="0023733D" w:rsidRPr="0093789E" w:rsidTr="00B950B5">
        <w:tc>
          <w:tcPr>
            <w:tcW w:w="5000" w:type="pct"/>
            <w:shd w:val="clear" w:color="auto" w:fill="DAEEF3" w:themeFill="accent5" w:themeFillTint="33"/>
          </w:tcPr>
          <w:p w:rsidR="0023733D" w:rsidRPr="00B12E0A" w:rsidRDefault="0023733D" w:rsidP="00B92506">
            <w:pPr>
              <w:pStyle w:val="TableText"/>
              <w:keepNext w:val="0"/>
              <w:numPr>
                <w:ilvl w:val="0"/>
                <w:numId w:val="14"/>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ow is the current CPD registration standard working?</w:t>
            </w:r>
            <w:r>
              <w:rPr>
                <w:rFonts w:ascii="Arial" w:hAnsi="Arial" w:cs="Arial"/>
                <w:color w:val="auto"/>
                <w:szCs w:val="20"/>
              </w:rPr>
              <w:t xml:space="preserve"> </w:t>
            </w:r>
          </w:p>
        </w:tc>
      </w:tr>
      <w:tr w:rsidR="0023733D" w:rsidRPr="00B12E0A" w:rsidTr="00B950B5">
        <w:tc>
          <w:tcPr>
            <w:tcW w:w="5000" w:type="pct"/>
          </w:tcPr>
          <w:p w:rsidR="0023733D" w:rsidRPr="00B12E0A" w:rsidRDefault="0023733D" w:rsidP="00B950B5">
            <w:pPr>
              <w:pStyle w:val="TableText"/>
              <w:keepNext w:val="0"/>
              <w:spacing w:before="0" w:after="0"/>
              <w:jc w:val="both"/>
              <w:rPr>
                <w:rFonts w:ascii="Arial" w:hAnsi="Arial" w:cs="Arial"/>
                <w:color w:val="auto"/>
                <w:szCs w:val="20"/>
              </w:rPr>
            </w:pPr>
          </w:p>
          <w:p w:rsidR="00C26955" w:rsidRPr="00B12E0A" w:rsidRDefault="00C26955" w:rsidP="00C26955">
            <w:pPr>
              <w:pStyle w:val="TableText"/>
              <w:keepNext w:val="0"/>
              <w:spacing w:before="0" w:after="0"/>
              <w:jc w:val="both"/>
              <w:rPr>
                <w:rFonts w:ascii="Arial" w:hAnsi="Arial" w:cs="Arial"/>
                <w:color w:val="auto"/>
                <w:szCs w:val="20"/>
              </w:rPr>
            </w:pPr>
            <w:r>
              <w:rPr>
                <w:rFonts w:ascii="Arial" w:hAnsi="Arial" w:cs="Arial"/>
                <w:color w:val="auto"/>
                <w:szCs w:val="20"/>
              </w:rPr>
              <w:t>In COCA’s opinion the current CPD standard is working but its requirements are deficient in several aspects</w:t>
            </w:r>
            <w:r w:rsidR="00F4241B">
              <w:rPr>
                <w:rFonts w:ascii="Arial" w:hAnsi="Arial" w:cs="Arial"/>
                <w:color w:val="auto"/>
                <w:szCs w:val="20"/>
              </w:rPr>
              <w:t xml:space="preserve"> and </w:t>
            </w:r>
            <w:r w:rsidR="00437237">
              <w:rPr>
                <w:rFonts w:ascii="Arial" w:hAnsi="Arial" w:cs="Arial"/>
                <w:color w:val="auto"/>
                <w:szCs w:val="20"/>
              </w:rPr>
              <w:t xml:space="preserve">is deficient it its goal of improving or maintaining clinical </w:t>
            </w:r>
            <w:r w:rsidR="00437237" w:rsidRPr="00C26955">
              <w:rPr>
                <w:rFonts w:ascii="Arial" w:hAnsi="Arial" w:cs="Arial"/>
                <w:szCs w:val="20"/>
                <w:lang w:eastAsia="en-US"/>
              </w:rPr>
              <w:t>competencies or standards of practice</w:t>
            </w:r>
            <w:r>
              <w:rPr>
                <w:rFonts w:ascii="Arial" w:hAnsi="Arial" w:cs="Arial"/>
                <w:color w:val="auto"/>
                <w:szCs w:val="20"/>
              </w:rPr>
              <w:t xml:space="preserve">. </w:t>
            </w:r>
          </w:p>
          <w:p w:rsidR="0023733D" w:rsidRPr="00B12E0A" w:rsidRDefault="0023733D" w:rsidP="00B950B5">
            <w:pPr>
              <w:pStyle w:val="TableText"/>
              <w:keepNext w:val="0"/>
              <w:spacing w:before="0" w:after="0"/>
              <w:jc w:val="both"/>
              <w:rPr>
                <w:rFonts w:ascii="Arial" w:hAnsi="Arial" w:cs="Arial"/>
                <w:color w:val="auto"/>
                <w:szCs w:val="20"/>
              </w:rPr>
            </w:pPr>
          </w:p>
          <w:p w:rsidR="0023733D" w:rsidRPr="00B12E0A" w:rsidRDefault="0023733D" w:rsidP="00B950B5">
            <w:pPr>
              <w:pStyle w:val="TableText"/>
              <w:keepNext w:val="0"/>
              <w:spacing w:before="0" w:after="0"/>
              <w:jc w:val="both"/>
              <w:rPr>
                <w:rFonts w:ascii="Arial" w:hAnsi="Arial" w:cs="Arial"/>
                <w:color w:val="auto"/>
                <w:szCs w:val="20"/>
              </w:rPr>
            </w:pPr>
          </w:p>
        </w:tc>
      </w:tr>
      <w:tr w:rsidR="0023733D" w:rsidRPr="00E07D13" w:rsidTr="00B950B5">
        <w:tc>
          <w:tcPr>
            <w:tcW w:w="5000" w:type="pct"/>
            <w:shd w:val="clear" w:color="auto" w:fill="DAEEF3" w:themeFill="accent5" w:themeFillTint="33"/>
          </w:tcPr>
          <w:p w:rsidR="0023733D" w:rsidRPr="00E07D13" w:rsidRDefault="0023733D" w:rsidP="00B92506">
            <w:pPr>
              <w:pStyle w:val="TableText"/>
              <w:keepNext w:val="0"/>
              <w:numPr>
                <w:ilvl w:val="0"/>
                <w:numId w:val="14"/>
              </w:numPr>
              <w:spacing w:before="0" w:after="0"/>
              <w:jc w:val="both"/>
              <w:rPr>
                <w:rFonts w:ascii="Arial" w:hAnsi="Arial" w:cs="Arial"/>
                <w:color w:val="auto"/>
                <w:szCs w:val="20"/>
              </w:rPr>
            </w:pPr>
            <w:r w:rsidRPr="0093789E">
              <w:rPr>
                <w:rFonts w:ascii="Arial" w:hAnsi="Arial" w:cs="Arial"/>
                <w:color w:val="auto"/>
              </w:rPr>
              <w:t xml:space="preserve">Is the content </w:t>
            </w:r>
            <w:r w:rsidR="00687482">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CPD </w:t>
            </w:r>
            <w:r w:rsidRPr="0093789E">
              <w:rPr>
                <w:rFonts w:ascii="Arial" w:hAnsi="Arial" w:cs="Arial"/>
                <w:color w:val="auto"/>
              </w:rPr>
              <w:t>regis</w:t>
            </w:r>
            <w:r>
              <w:rPr>
                <w:rFonts w:ascii="Arial" w:hAnsi="Arial" w:cs="Arial"/>
                <w:color w:val="auto"/>
              </w:rPr>
              <w:t xml:space="preserve">tration standard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23733D" w:rsidRPr="00E07D13" w:rsidTr="00B950B5">
        <w:tc>
          <w:tcPr>
            <w:tcW w:w="5000" w:type="pct"/>
            <w:shd w:val="clear" w:color="auto" w:fill="auto"/>
          </w:tcPr>
          <w:p w:rsidR="0023733D" w:rsidRPr="00E07D13" w:rsidRDefault="0023733D" w:rsidP="00B950B5">
            <w:pPr>
              <w:pStyle w:val="TableText"/>
              <w:keepNext w:val="0"/>
              <w:spacing w:before="0" w:after="0"/>
              <w:jc w:val="both"/>
              <w:rPr>
                <w:rFonts w:ascii="Arial" w:hAnsi="Arial" w:cs="Arial"/>
                <w:color w:val="auto"/>
                <w:szCs w:val="20"/>
              </w:rPr>
            </w:pPr>
          </w:p>
          <w:p w:rsidR="00C26955" w:rsidRPr="00C26955" w:rsidRDefault="00C26955" w:rsidP="00C26955">
            <w:pPr>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 xml:space="preserve">In COCA’s opinion </w:t>
            </w:r>
            <w:r>
              <w:rPr>
                <w:rFonts w:ascii="Arial" w:eastAsia="Calibri" w:hAnsi="Arial" w:cs="Arial"/>
                <w:sz w:val="20"/>
                <w:szCs w:val="20"/>
                <w:lang w:eastAsia="en-US"/>
              </w:rPr>
              <w:t xml:space="preserve">the </w:t>
            </w:r>
            <w:r w:rsidRPr="00C26955">
              <w:rPr>
                <w:rFonts w:ascii="Arial" w:eastAsia="Calibri" w:hAnsi="Arial" w:cs="Arial"/>
                <w:sz w:val="20"/>
                <w:szCs w:val="20"/>
                <w:lang w:eastAsia="en-US"/>
              </w:rPr>
              <w:t>revised registration standard, like the cur</w:t>
            </w:r>
            <w:r>
              <w:rPr>
                <w:rFonts w:ascii="Arial" w:eastAsia="Calibri" w:hAnsi="Arial" w:cs="Arial"/>
                <w:sz w:val="20"/>
                <w:szCs w:val="20"/>
                <w:lang w:eastAsia="en-US"/>
              </w:rPr>
              <w:t>rent standard, could be clearer and mor</w:t>
            </w:r>
            <w:r w:rsidRPr="00C26955">
              <w:rPr>
                <w:rFonts w:ascii="Arial" w:eastAsia="Calibri" w:hAnsi="Arial" w:cs="Arial"/>
                <w:sz w:val="20"/>
                <w:szCs w:val="20"/>
                <w:lang w:eastAsia="en-US"/>
              </w:rPr>
              <w:t xml:space="preserve">e helpful </w:t>
            </w:r>
            <w:r w:rsidR="00850E2C">
              <w:rPr>
                <w:rFonts w:ascii="Arial" w:eastAsia="Calibri" w:hAnsi="Arial" w:cs="Arial"/>
                <w:sz w:val="20"/>
                <w:szCs w:val="20"/>
                <w:lang w:eastAsia="en-US"/>
              </w:rPr>
              <w:t>and in particular,</w:t>
            </w:r>
            <w:r w:rsidR="00B66505">
              <w:rPr>
                <w:rFonts w:ascii="Arial" w:eastAsia="Calibri" w:hAnsi="Arial" w:cs="Arial"/>
                <w:sz w:val="20"/>
                <w:szCs w:val="20"/>
                <w:lang w:eastAsia="en-US"/>
              </w:rPr>
              <w:t xml:space="preserve"> the addition </w:t>
            </w:r>
            <w:r w:rsidR="00850E2C">
              <w:rPr>
                <w:rFonts w:ascii="Arial" w:eastAsia="Calibri" w:hAnsi="Arial" w:cs="Arial"/>
                <w:sz w:val="20"/>
                <w:szCs w:val="20"/>
                <w:lang w:eastAsia="en-US"/>
              </w:rPr>
              <w:t xml:space="preserve">of the </w:t>
            </w:r>
            <w:r w:rsidR="00B66505">
              <w:rPr>
                <w:rFonts w:ascii="Arial" w:eastAsia="Calibri" w:hAnsi="Arial" w:cs="Arial"/>
                <w:sz w:val="20"/>
                <w:szCs w:val="20"/>
                <w:lang w:eastAsia="en-US"/>
              </w:rPr>
              <w:t xml:space="preserve">sentence relating to limited registration for supervised practice requires further clarification. </w:t>
            </w: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1A300B">
        <w:tc>
          <w:tcPr>
            <w:tcW w:w="5000" w:type="pct"/>
            <w:tcBorders>
              <w:bottom w:val="single" w:sz="4" w:space="0" w:color="auto"/>
            </w:tcBorders>
            <w:shd w:val="clear" w:color="auto" w:fill="DAEEF3" w:themeFill="accent5" w:themeFillTint="33"/>
          </w:tcPr>
          <w:p w:rsidR="0023733D" w:rsidRPr="00E07D13" w:rsidRDefault="0023733D" w:rsidP="00B92506">
            <w:pPr>
              <w:pStyle w:val="TableText"/>
              <w:keepNext w:val="0"/>
              <w:numPr>
                <w:ilvl w:val="0"/>
                <w:numId w:val="14"/>
              </w:numPr>
              <w:spacing w:before="0" w:after="0"/>
              <w:jc w:val="both"/>
              <w:rPr>
                <w:rFonts w:ascii="Arial" w:hAnsi="Arial" w:cs="Arial"/>
                <w:color w:val="auto"/>
                <w:szCs w:val="20"/>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CPD </w:t>
            </w:r>
            <w:r w:rsidRPr="0093789E">
              <w:rPr>
                <w:rFonts w:ascii="Arial" w:hAnsi="Arial" w:cs="Arial"/>
                <w:color w:val="auto"/>
              </w:rPr>
              <w:t>registration standard?</w:t>
            </w:r>
          </w:p>
        </w:tc>
      </w:tr>
      <w:tr w:rsidR="0023733D" w:rsidRPr="00E07D13" w:rsidTr="001A300B">
        <w:tc>
          <w:tcPr>
            <w:tcW w:w="5000" w:type="pct"/>
            <w:tcBorders>
              <w:top w:val="single" w:sz="4" w:space="0" w:color="auto"/>
              <w:left w:val="single" w:sz="4" w:space="0" w:color="auto"/>
              <w:bottom w:val="single" w:sz="4" w:space="0" w:color="auto"/>
              <w:right w:val="single" w:sz="4" w:space="0" w:color="auto"/>
            </w:tcBorders>
          </w:tcPr>
          <w:p w:rsidR="00850E2C" w:rsidRDefault="00850E2C" w:rsidP="00D064E2">
            <w:pPr>
              <w:keepNext/>
              <w:spacing w:after="0" w:line="240" w:lineRule="auto"/>
              <w:jc w:val="both"/>
              <w:rPr>
                <w:rFonts w:ascii="Arial" w:eastAsia="Calibri"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B66505">
              <w:rPr>
                <w:rFonts w:ascii="Arial" w:eastAsia="Calibri" w:hAnsi="Arial" w:cs="Arial"/>
                <w:sz w:val="20"/>
                <w:szCs w:val="20"/>
                <w:lang w:eastAsia="en-US"/>
              </w:rPr>
              <w:t>The proposed draft states</w:t>
            </w:r>
            <w:r>
              <w:rPr>
                <w:rFonts w:ascii="Arial" w:eastAsia="Calibri" w:hAnsi="Arial" w:cs="Arial"/>
                <w:sz w:val="20"/>
                <w:szCs w:val="20"/>
                <w:lang w:eastAsia="en-US"/>
              </w:rPr>
              <w:t xml:space="preserve"> that the standard</w:t>
            </w:r>
            <w:r w:rsidRPr="00B66505">
              <w:rPr>
                <w:rFonts w:ascii="Arial" w:hAnsi="Arial" w:cs="Arial"/>
                <w:sz w:val="20"/>
                <w:szCs w:val="20"/>
              </w:rPr>
              <w:t xml:space="preserve"> </w:t>
            </w:r>
            <w:r>
              <w:rPr>
                <w:rFonts w:ascii="Arial" w:hAnsi="Arial" w:cs="Arial"/>
                <w:sz w:val="20"/>
                <w:szCs w:val="20"/>
              </w:rPr>
              <w:t>“</w:t>
            </w:r>
            <w:r w:rsidRPr="00B66505">
              <w:rPr>
                <w:rFonts w:ascii="Arial" w:hAnsi="Arial" w:cs="Arial"/>
                <w:sz w:val="20"/>
                <w:szCs w:val="20"/>
              </w:rPr>
              <w:t>may not apply to those registrants with limited registration for supervised practice to sit an examinat</w:t>
            </w:r>
            <w:r>
              <w:rPr>
                <w:rFonts w:ascii="Arial" w:hAnsi="Arial" w:cs="Arial"/>
                <w:sz w:val="20"/>
                <w:szCs w:val="20"/>
              </w:rPr>
              <w:t>ion</w:t>
            </w:r>
            <w:r w:rsidRPr="00B66505">
              <w:rPr>
                <w:rFonts w:ascii="Arial" w:eastAsia="Calibri" w:hAnsi="Arial" w:cs="Arial"/>
                <w:sz w:val="20"/>
                <w:szCs w:val="20"/>
                <w:lang w:eastAsia="en-US"/>
              </w:rPr>
              <w:t>“</w:t>
            </w:r>
            <w:r>
              <w:rPr>
                <w:rFonts w:ascii="Arial" w:eastAsia="Calibri" w:hAnsi="Arial" w:cs="Arial"/>
                <w:sz w:val="20"/>
                <w:szCs w:val="20"/>
                <w:lang w:eastAsia="en-US"/>
              </w:rPr>
              <w:t>. This sentence is confusing and we suggest it be amended to state that the standard may not apply to some registrants such as those with limited registration for supervised practice that are required to sit an examination.</w:t>
            </w:r>
          </w:p>
          <w:p w:rsidR="00D064E2" w:rsidRDefault="00D064E2" w:rsidP="00D064E2">
            <w:pPr>
              <w:keepNext/>
              <w:spacing w:after="0" w:line="240" w:lineRule="auto"/>
              <w:jc w:val="both"/>
              <w:rPr>
                <w:rFonts w:ascii="Arial" w:eastAsia="Calibri"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The ultimate goal of any osteopathic CPD activity should be to maintain and where appropriate improve practitioner competencies and standards of practice, which in turn should lead to improved health outcomes. While it is recognised that, in general, the scientific literature does not provide overwhelming evidence of a causal relationship between mandatory continuing professional development and improved competencies or standards of practice, there is good evidence that moderately large changes in professional practice are attainable via specific forms of continuing education. (1,2)</w:t>
            </w:r>
          </w:p>
          <w:p w:rsidR="00D064E2" w:rsidRDefault="00D064E2" w:rsidP="00D064E2">
            <w:pPr>
              <w:keepNext/>
              <w:spacing w:after="0" w:line="240" w:lineRule="auto"/>
              <w:jc w:val="both"/>
              <w:rPr>
                <w:rFonts w:ascii="Arial" w:eastAsia="Calibri"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 xml:space="preserve">COCA suggests that the requirements of the draft registration standard are inadequate in the context of improving or maintaining practitioners' clinical competencies and standards of care. As the Board’s overarching mandate is </w:t>
            </w:r>
            <w:r w:rsidR="00437237">
              <w:rPr>
                <w:rFonts w:ascii="Arial" w:eastAsia="Calibri" w:hAnsi="Arial" w:cs="Arial"/>
                <w:sz w:val="20"/>
                <w:szCs w:val="20"/>
                <w:lang w:eastAsia="en-US"/>
              </w:rPr>
              <w:t xml:space="preserve">to ensure </w:t>
            </w:r>
            <w:r w:rsidRPr="00C26955">
              <w:rPr>
                <w:rFonts w:ascii="Arial" w:eastAsia="Calibri" w:hAnsi="Arial" w:cs="Arial"/>
                <w:sz w:val="20"/>
                <w:szCs w:val="20"/>
                <w:lang w:eastAsia="en-US"/>
              </w:rPr>
              <w:t xml:space="preserve">public safety in the practice of osteopathy, COCA is of the firm belief that all CPD </w:t>
            </w:r>
            <w:r w:rsidR="00437237" w:rsidRPr="00C26955">
              <w:rPr>
                <w:rFonts w:ascii="Arial" w:eastAsia="Calibri" w:hAnsi="Arial" w:cs="Arial"/>
                <w:sz w:val="20"/>
                <w:szCs w:val="20"/>
                <w:lang w:eastAsia="en-US"/>
              </w:rPr>
              <w:t>undertaken</w:t>
            </w:r>
            <w:r w:rsidRPr="00C26955">
              <w:rPr>
                <w:rFonts w:ascii="Arial" w:eastAsia="Calibri" w:hAnsi="Arial" w:cs="Arial"/>
                <w:sz w:val="20"/>
                <w:szCs w:val="20"/>
                <w:lang w:eastAsia="en-US"/>
              </w:rPr>
              <w:t xml:space="preserve"> should not only focus on clinical aspects of practice but be a mandatory requirement of the standard. The registration standard fails define good CPD and omits</w:t>
            </w:r>
            <w:r w:rsidR="00437237">
              <w:rPr>
                <w:rFonts w:ascii="Arial" w:eastAsia="Calibri" w:hAnsi="Arial" w:cs="Arial"/>
                <w:sz w:val="20"/>
                <w:szCs w:val="20"/>
                <w:lang w:eastAsia="en-US"/>
              </w:rPr>
              <w:t>,</w:t>
            </w:r>
            <w:r w:rsidRPr="00C26955">
              <w:rPr>
                <w:rFonts w:ascii="Arial" w:eastAsia="Calibri" w:hAnsi="Arial" w:cs="Arial"/>
                <w:sz w:val="20"/>
                <w:szCs w:val="20"/>
                <w:lang w:eastAsia="en-US"/>
              </w:rPr>
              <w:t xml:space="preserve"> as one of its requirements</w:t>
            </w:r>
            <w:r w:rsidR="00437237">
              <w:rPr>
                <w:rFonts w:ascii="Arial" w:eastAsia="Calibri" w:hAnsi="Arial" w:cs="Arial"/>
                <w:sz w:val="20"/>
                <w:szCs w:val="20"/>
                <w:lang w:eastAsia="en-US"/>
              </w:rPr>
              <w:t>,</w:t>
            </w:r>
            <w:r w:rsidRPr="00C26955">
              <w:rPr>
                <w:rFonts w:ascii="Arial" w:eastAsia="Calibri" w:hAnsi="Arial" w:cs="Arial"/>
                <w:sz w:val="20"/>
                <w:szCs w:val="20"/>
                <w:lang w:eastAsia="en-US"/>
              </w:rPr>
              <w:t xml:space="preserve"> that the CPD should be evidence based. CPD that relates to professional development in areas other than those directed at minimising risk and improving patient safety are outside the Board’s obligations and this type of CPD would best be provided by professional associations. </w:t>
            </w:r>
          </w:p>
          <w:p w:rsidR="00437237" w:rsidRPr="00C26955" w:rsidRDefault="00437237" w:rsidP="00D064E2">
            <w:pPr>
              <w:keepNext/>
              <w:spacing w:after="0" w:line="240" w:lineRule="auto"/>
              <w:jc w:val="both"/>
              <w:rPr>
                <w:rFonts w:ascii="Arial" w:eastAsia="Calibri"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 xml:space="preserve">The draft standard only requires that a minimum of four </w:t>
            </w:r>
            <w:r w:rsidR="00437237">
              <w:rPr>
                <w:rFonts w:ascii="Arial" w:eastAsia="Calibri" w:hAnsi="Arial" w:cs="Arial"/>
                <w:sz w:val="20"/>
                <w:szCs w:val="20"/>
                <w:lang w:eastAsia="en-US"/>
              </w:rPr>
              <w:t xml:space="preserve">hours of </w:t>
            </w:r>
            <w:r w:rsidRPr="00C26955">
              <w:rPr>
                <w:rFonts w:ascii="Arial" w:eastAsia="Calibri" w:hAnsi="Arial" w:cs="Arial"/>
                <w:sz w:val="20"/>
                <w:szCs w:val="20"/>
                <w:lang w:eastAsia="en-US"/>
              </w:rPr>
              <w:t>CPD be completed from the Board’s list of mandatory topics. In COCA’s opinion, four hours of CPD on these topics is totally inadequate and should be increased to 25 hours per annum.</w:t>
            </w:r>
          </w:p>
          <w:p w:rsidR="00D064E2" w:rsidRDefault="00D064E2" w:rsidP="00D064E2">
            <w:pPr>
              <w:keepNext/>
              <w:spacing w:after="0" w:line="240" w:lineRule="auto"/>
              <w:jc w:val="both"/>
              <w:rPr>
                <w:rFonts w:ascii="Arial" w:eastAsia="Calibri" w:hAnsi="Arial" w:cs="Arial"/>
                <w:sz w:val="20"/>
                <w:szCs w:val="20"/>
                <w:lang w:eastAsia="en-US"/>
              </w:rPr>
            </w:pPr>
          </w:p>
          <w:p w:rsidR="00D064E2" w:rsidRDefault="00D064E2" w:rsidP="00D064E2">
            <w:pPr>
              <w:spacing w:after="0" w:line="240" w:lineRule="auto"/>
              <w:jc w:val="both"/>
              <w:rPr>
                <w:rFonts w:ascii="Arial" w:hAnsi="Arial" w:cs="Arial"/>
                <w:sz w:val="20"/>
                <w:szCs w:val="20"/>
                <w:lang w:eastAsia="en-US"/>
              </w:rPr>
            </w:pPr>
            <w:r w:rsidRPr="00C26955">
              <w:rPr>
                <w:rFonts w:ascii="Arial" w:hAnsi="Arial" w:cs="Arial"/>
                <w:sz w:val="20"/>
                <w:szCs w:val="20"/>
                <w:lang w:eastAsia="en-US"/>
              </w:rPr>
              <w:t>The current draft standard includes the requirement for all registered practising osteopaths to hold a senior first aid certificate at the minimum standard of a Senior First Aid certificate of equivalent. In COCA’s view such training is superfluous to t</w:t>
            </w:r>
            <w:r w:rsidR="00437237">
              <w:rPr>
                <w:rFonts w:ascii="Arial" w:hAnsi="Arial" w:cs="Arial"/>
                <w:sz w:val="20"/>
                <w:szCs w:val="20"/>
                <w:lang w:eastAsia="en-US"/>
              </w:rPr>
              <w:t>he need</w:t>
            </w:r>
            <w:r w:rsidRPr="00C26955">
              <w:rPr>
                <w:rFonts w:ascii="Arial" w:hAnsi="Arial" w:cs="Arial"/>
                <w:sz w:val="20"/>
                <w:szCs w:val="20"/>
                <w:lang w:eastAsia="en-US"/>
              </w:rPr>
              <w:t>s of osteopathic practice. Senior First Aid training involves many aspects of first aid which are not germane to the practice of osteopathy, such as the treatment of burns, bites, stings, poisoning and internal injuries. While possessing all the skills and knowledge required to successfully complete a Senior First Aid certificate</w:t>
            </w:r>
            <w:r w:rsidR="00437237">
              <w:rPr>
                <w:rFonts w:ascii="Arial" w:hAnsi="Arial" w:cs="Arial"/>
                <w:sz w:val="20"/>
                <w:szCs w:val="20"/>
                <w:lang w:eastAsia="en-US"/>
              </w:rPr>
              <w:t>,</w:t>
            </w:r>
            <w:r w:rsidRPr="00C26955">
              <w:rPr>
                <w:rFonts w:ascii="Arial" w:hAnsi="Arial" w:cs="Arial"/>
                <w:sz w:val="20"/>
                <w:szCs w:val="20"/>
                <w:lang w:eastAsia="en-US"/>
              </w:rPr>
              <w:t xml:space="preserve"> is a laudable attribute for any individual, COCA is of the opinion that this requirement, in the context of registration as an osteopath, is excessive and not in keeping with the requirements of most other health professionals registration boards.  Other boards, such as the Podiatry Board, the Optometry Board, have as part of their requirements that practitioners must hold a current cardiopulmonary resuscitation (CPR) certificate and COCA would recommend that a similar requirement replace the current draft standard.</w:t>
            </w:r>
          </w:p>
          <w:p w:rsidR="00D064E2" w:rsidRDefault="00D064E2" w:rsidP="00D064E2">
            <w:pPr>
              <w:spacing w:after="0" w:line="240" w:lineRule="auto"/>
              <w:jc w:val="both"/>
              <w:rPr>
                <w:rFonts w:ascii="Arial"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The definition of “practice”, provided by the Board for the purposes of this standard includes such activities as “working in management”, “administration” and “regulatory of policy development roles”. While it is possible that some of these roles may indirectly or directly impact on the safe and effective delivery of chiropractic services</w:t>
            </w:r>
            <w:r w:rsidR="00437237">
              <w:rPr>
                <w:rFonts w:ascii="Arial" w:eastAsia="Calibri" w:hAnsi="Arial" w:cs="Arial"/>
                <w:sz w:val="20"/>
                <w:szCs w:val="20"/>
                <w:lang w:eastAsia="en-US"/>
              </w:rPr>
              <w:t>,</w:t>
            </w:r>
            <w:r w:rsidRPr="00C26955">
              <w:rPr>
                <w:rFonts w:ascii="Arial" w:eastAsia="Calibri" w:hAnsi="Arial" w:cs="Arial"/>
                <w:sz w:val="20"/>
                <w:szCs w:val="20"/>
                <w:lang w:eastAsia="en-US"/>
              </w:rPr>
              <w:t xml:space="preserve"> there would be many instances where CPD relating to clinical activities would be irrelevant, such as administration positions</w:t>
            </w:r>
            <w:r w:rsidR="00437237">
              <w:rPr>
                <w:rFonts w:ascii="Arial" w:eastAsia="Calibri" w:hAnsi="Arial" w:cs="Arial"/>
                <w:sz w:val="20"/>
                <w:szCs w:val="20"/>
                <w:lang w:eastAsia="en-US"/>
              </w:rPr>
              <w:t xml:space="preserve"> where the work involved has no</w:t>
            </w:r>
            <w:r w:rsidRPr="00C26955">
              <w:rPr>
                <w:rFonts w:ascii="Arial" w:eastAsia="Calibri" w:hAnsi="Arial" w:cs="Arial"/>
                <w:sz w:val="20"/>
                <w:szCs w:val="20"/>
                <w:lang w:eastAsia="en-US"/>
              </w:rPr>
              <w:t xml:space="preserve"> bearing or influence on patient safety and health outcomes. </w:t>
            </w:r>
          </w:p>
          <w:p w:rsidR="00D064E2" w:rsidRDefault="00D064E2" w:rsidP="00D064E2">
            <w:pPr>
              <w:keepNext/>
              <w:spacing w:after="0" w:line="240" w:lineRule="auto"/>
              <w:jc w:val="both"/>
              <w:rPr>
                <w:rFonts w:ascii="Arial" w:eastAsia="Calibri" w:hAnsi="Arial" w:cs="Arial"/>
                <w:sz w:val="20"/>
                <w:szCs w:val="20"/>
                <w:lang w:eastAsia="en-US"/>
              </w:rPr>
            </w:pPr>
          </w:p>
          <w:p w:rsidR="00D064E2" w:rsidRDefault="00D064E2" w:rsidP="00D064E2">
            <w:pPr>
              <w:keepNext/>
              <w:spacing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In this context, COCA refers the Board to AHPRA’s previous “preliminary consultation on the definition of practice, issued in August 2011, and suggests the alternative definition of practice contained in that document, “Practice means any role in which the individual uses their skills and knowledge as a health practitioner in their profession in any way that impacts on safe, effective delivery of health services”, is better suited for this practice standard.</w:t>
            </w:r>
          </w:p>
          <w:p w:rsidR="00D064E2" w:rsidRDefault="00D064E2" w:rsidP="00D064E2">
            <w:pPr>
              <w:keepNext/>
              <w:spacing w:after="0" w:line="240" w:lineRule="auto"/>
              <w:jc w:val="both"/>
              <w:rPr>
                <w:rFonts w:ascii="Arial" w:eastAsia="Calibri" w:hAnsi="Arial" w:cs="Arial"/>
                <w:sz w:val="20"/>
                <w:szCs w:val="20"/>
                <w:lang w:eastAsia="en-US"/>
              </w:rPr>
            </w:pPr>
          </w:p>
          <w:p w:rsidR="00C26955" w:rsidRPr="00C26955" w:rsidRDefault="00C26955" w:rsidP="00C26955">
            <w:pPr>
              <w:keepNext/>
              <w:numPr>
                <w:ilvl w:val="0"/>
                <w:numId w:val="19"/>
              </w:numPr>
              <w:spacing w:before="120" w:after="0" w:line="240" w:lineRule="auto"/>
              <w:jc w:val="both"/>
              <w:rPr>
                <w:rFonts w:ascii="Arial" w:eastAsia="Calibri" w:hAnsi="Arial" w:cs="Arial"/>
                <w:sz w:val="20"/>
                <w:szCs w:val="20"/>
                <w:lang w:eastAsia="en-US"/>
              </w:rPr>
            </w:pPr>
            <w:r w:rsidRPr="00C26955">
              <w:rPr>
                <w:rFonts w:ascii="Arial" w:eastAsia="Calibri" w:hAnsi="Arial" w:cs="Arial"/>
                <w:sz w:val="20"/>
                <w:szCs w:val="20"/>
                <w:lang w:eastAsia="en-US"/>
              </w:rPr>
              <w:t xml:space="preserve">Thompson O'Brien MA, Freemantle N, </w:t>
            </w:r>
            <w:proofErr w:type="spellStart"/>
            <w:r w:rsidRPr="00C26955">
              <w:rPr>
                <w:rFonts w:ascii="Arial" w:eastAsia="Calibri" w:hAnsi="Arial" w:cs="Arial"/>
                <w:sz w:val="20"/>
                <w:szCs w:val="20"/>
                <w:lang w:eastAsia="en-US"/>
              </w:rPr>
              <w:t>Oxman</w:t>
            </w:r>
            <w:proofErr w:type="spellEnd"/>
            <w:r w:rsidRPr="00C26955">
              <w:rPr>
                <w:rFonts w:ascii="Arial" w:eastAsia="Calibri" w:hAnsi="Arial" w:cs="Arial"/>
                <w:sz w:val="20"/>
                <w:szCs w:val="20"/>
                <w:lang w:eastAsia="en-US"/>
              </w:rPr>
              <w:t xml:space="preserve"> AD, Wolf F, Davis DA, Herrin J. Continuing education meetings and workshops: effects on professional practice and health care outcomes. Cochrane Database </w:t>
            </w:r>
            <w:proofErr w:type="spellStart"/>
            <w:r w:rsidRPr="00C26955">
              <w:rPr>
                <w:rFonts w:ascii="Arial" w:eastAsia="Calibri" w:hAnsi="Arial" w:cs="Arial"/>
                <w:sz w:val="20"/>
                <w:szCs w:val="20"/>
                <w:lang w:eastAsia="en-US"/>
              </w:rPr>
              <w:t>Syst</w:t>
            </w:r>
            <w:proofErr w:type="spellEnd"/>
            <w:r w:rsidRPr="00C26955">
              <w:rPr>
                <w:rFonts w:ascii="Arial" w:eastAsia="Calibri" w:hAnsi="Arial" w:cs="Arial"/>
                <w:sz w:val="20"/>
                <w:szCs w:val="20"/>
                <w:lang w:eastAsia="en-US"/>
              </w:rPr>
              <w:t xml:space="preserve"> Rev 2009;(2):CD003030</w:t>
            </w:r>
          </w:p>
          <w:p w:rsidR="00C26955" w:rsidRPr="00C26955" w:rsidRDefault="00C26955" w:rsidP="00C26955">
            <w:pPr>
              <w:keepNext/>
              <w:numPr>
                <w:ilvl w:val="0"/>
                <w:numId w:val="19"/>
              </w:numPr>
              <w:spacing w:before="120" w:after="0" w:line="240" w:lineRule="auto"/>
              <w:jc w:val="both"/>
              <w:rPr>
                <w:rFonts w:ascii="Arial" w:eastAsia="Calibri" w:hAnsi="Arial" w:cs="Arial"/>
                <w:sz w:val="20"/>
                <w:szCs w:val="20"/>
                <w:lang w:eastAsia="en-US"/>
              </w:rPr>
            </w:pPr>
            <w:proofErr w:type="spellStart"/>
            <w:r w:rsidRPr="00C26955">
              <w:rPr>
                <w:rFonts w:ascii="Arial" w:eastAsia="Calibri" w:hAnsi="Arial" w:cs="Arial"/>
                <w:sz w:val="20"/>
                <w:szCs w:val="20"/>
                <w:lang w:eastAsia="en-US"/>
              </w:rPr>
              <w:lastRenderedPageBreak/>
              <w:t>Forsetlund</w:t>
            </w:r>
            <w:proofErr w:type="spellEnd"/>
            <w:r w:rsidRPr="00C26955">
              <w:rPr>
                <w:rFonts w:ascii="Arial" w:eastAsia="Calibri" w:hAnsi="Arial" w:cs="Arial"/>
                <w:sz w:val="20"/>
                <w:szCs w:val="20"/>
                <w:lang w:eastAsia="en-US"/>
              </w:rPr>
              <w:t xml:space="preserve"> L et al Continuing education meetings and workshops: effects on professional practice and health care outcomes. Cochrane Database </w:t>
            </w:r>
            <w:proofErr w:type="spellStart"/>
            <w:r w:rsidRPr="00C26955">
              <w:rPr>
                <w:rFonts w:ascii="Arial" w:eastAsia="Calibri" w:hAnsi="Arial" w:cs="Arial"/>
                <w:sz w:val="20"/>
                <w:szCs w:val="20"/>
                <w:lang w:eastAsia="en-US"/>
              </w:rPr>
              <w:t>Syst</w:t>
            </w:r>
            <w:proofErr w:type="spellEnd"/>
            <w:r w:rsidRPr="00C26955">
              <w:rPr>
                <w:rFonts w:ascii="Arial" w:eastAsia="Calibri" w:hAnsi="Arial" w:cs="Arial"/>
                <w:sz w:val="20"/>
                <w:szCs w:val="20"/>
                <w:lang w:eastAsia="en-US"/>
              </w:rPr>
              <w:t xml:space="preserve"> Rev 2001;(2):CD003030</w:t>
            </w: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1A300B">
        <w:tc>
          <w:tcPr>
            <w:tcW w:w="5000" w:type="pct"/>
            <w:tcBorders>
              <w:top w:val="single" w:sz="4" w:space="0" w:color="auto"/>
            </w:tcBorders>
            <w:shd w:val="clear" w:color="auto" w:fill="DAEEF3" w:themeFill="accent5" w:themeFillTint="33"/>
          </w:tcPr>
          <w:p w:rsidR="0023733D" w:rsidRPr="0023733D" w:rsidRDefault="0023733D" w:rsidP="00B92506">
            <w:pPr>
              <w:pStyle w:val="TableText"/>
              <w:keepNext w:val="0"/>
              <w:numPr>
                <w:ilvl w:val="0"/>
                <w:numId w:val="14"/>
              </w:numPr>
              <w:spacing w:before="0" w:after="0"/>
              <w:jc w:val="both"/>
              <w:rPr>
                <w:rFonts w:ascii="Arial" w:hAnsi="Arial" w:cs="Arial"/>
                <w:color w:val="auto"/>
                <w:szCs w:val="20"/>
              </w:rPr>
            </w:pPr>
            <w:r w:rsidRPr="00E07D13">
              <w:rPr>
                <w:rFonts w:ascii="Arial" w:hAnsi="Arial" w:cs="Arial"/>
                <w:color w:val="auto"/>
                <w:szCs w:val="20"/>
              </w:rPr>
              <w:lastRenderedPageBreak/>
              <w:t xml:space="preserve">Is there anything missing that needs to be added to the </w:t>
            </w:r>
            <w:r>
              <w:rPr>
                <w:rFonts w:ascii="Arial" w:hAnsi="Arial" w:cs="Arial"/>
                <w:color w:val="auto"/>
                <w:szCs w:val="20"/>
              </w:rPr>
              <w:t xml:space="preserve">draft revised </w:t>
            </w:r>
            <w:r w:rsidRPr="00E07D13">
              <w:rPr>
                <w:rFonts w:ascii="Arial" w:hAnsi="Arial" w:cs="Arial"/>
                <w:color w:val="auto"/>
                <w:szCs w:val="20"/>
              </w:rPr>
              <w:t>CPD registration standard?</w:t>
            </w:r>
          </w:p>
        </w:tc>
      </w:tr>
      <w:tr w:rsidR="0023733D" w:rsidRPr="00E07D13" w:rsidTr="00B950B5">
        <w:tc>
          <w:tcPr>
            <w:tcW w:w="5000" w:type="pct"/>
          </w:tcPr>
          <w:p w:rsidR="0023733D" w:rsidRDefault="0023733D" w:rsidP="00B950B5">
            <w:pPr>
              <w:pStyle w:val="TableText"/>
              <w:keepNext w:val="0"/>
              <w:spacing w:before="0" w:after="0"/>
              <w:jc w:val="both"/>
              <w:rPr>
                <w:rFonts w:ascii="Arial" w:hAnsi="Arial" w:cs="Arial"/>
                <w:color w:val="auto"/>
                <w:szCs w:val="20"/>
              </w:rPr>
            </w:pPr>
          </w:p>
          <w:p w:rsidR="00836CA7" w:rsidRPr="00E07D13" w:rsidRDefault="00836CA7" w:rsidP="00B950B5">
            <w:pPr>
              <w:pStyle w:val="TableText"/>
              <w:keepNext w:val="0"/>
              <w:spacing w:before="0" w:after="0"/>
              <w:jc w:val="both"/>
              <w:rPr>
                <w:rFonts w:ascii="Arial" w:hAnsi="Arial" w:cs="Arial"/>
                <w:color w:val="auto"/>
                <w:szCs w:val="20"/>
              </w:rPr>
            </w:pPr>
            <w:r>
              <w:rPr>
                <w:rFonts w:ascii="Arial" w:hAnsi="Arial" w:cs="Arial"/>
                <w:color w:val="auto"/>
                <w:szCs w:val="20"/>
              </w:rPr>
              <w:t>See above</w:t>
            </w: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B950B5">
        <w:tc>
          <w:tcPr>
            <w:tcW w:w="5000" w:type="pct"/>
            <w:shd w:val="clear" w:color="auto" w:fill="DAEEF3" w:themeFill="accent5" w:themeFillTint="33"/>
          </w:tcPr>
          <w:p w:rsidR="0023733D" w:rsidRPr="00E07D13" w:rsidRDefault="0023733D" w:rsidP="00B92506">
            <w:pPr>
              <w:pStyle w:val="TableText"/>
              <w:keepNext w:val="0"/>
              <w:numPr>
                <w:ilvl w:val="0"/>
                <w:numId w:val="14"/>
              </w:numPr>
              <w:spacing w:before="0" w:after="0"/>
              <w:jc w:val="both"/>
              <w:rPr>
                <w:rFonts w:ascii="Arial" w:hAnsi="Arial" w:cs="Arial"/>
                <w:color w:val="auto"/>
                <w:szCs w:val="20"/>
              </w:rPr>
            </w:pPr>
            <w:r w:rsidRPr="00E07D13">
              <w:rPr>
                <w:rFonts w:ascii="Arial" w:hAnsi="Arial" w:cs="Arial"/>
                <w:szCs w:val="20"/>
              </w:rPr>
              <w:t xml:space="preserve">Do you have any other comments on the </w:t>
            </w:r>
            <w:r>
              <w:rPr>
                <w:rFonts w:ascii="Arial" w:hAnsi="Arial" w:cs="Arial"/>
                <w:szCs w:val="20"/>
              </w:rPr>
              <w:t xml:space="preserve">draft revised </w:t>
            </w:r>
            <w:r w:rsidRPr="00E07D13">
              <w:rPr>
                <w:rFonts w:ascii="Arial" w:hAnsi="Arial" w:cs="Arial"/>
                <w:szCs w:val="20"/>
              </w:rPr>
              <w:t>CPD registration standard?</w:t>
            </w:r>
          </w:p>
        </w:tc>
      </w:tr>
      <w:tr w:rsidR="0023733D" w:rsidRPr="00E07D13" w:rsidTr="007D7B6F">
        <w:trPr>
          <w:trHeight w:val="797"/>
        </w:trPr>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836CA7" w:rsidP="00B950B5">
            <w:pPr>
              <w:pStyle w:val="TableText"/>
              <w:keepNext w:val="0"/>
              <w:spacing w:before="0" w:after="0"/>
              <w:jc w:val="both"/>
              <w:rPr>
                <w:rFonts w:ascii="Arial" w:hAnsi="Arial" w:cs="Arial"/>
                <w:color w:val="auto"/>
                <w:szCs w:val="20"/>
              </w:rPr>
            </w:pPr>
            <w:r>
              <w:rPr>
                <w:rFonts w:ascii="Arial" w:hAnsi="Arial" w:cs="Arial"/>
                <w:color w:val="auto"/>
                <w:szCs w:val="20"/>
              </w:rPr>
              <w:t>No</w:t>
            </w:r>
          </w:p>
          <w:p w:rsidR="0023733D" w:rsidRPr="00E07D13" w:rsidRDefault="0023733D" w:rsidP="00B950B5">
            <w:pPr>
              <w:pStyle w:val="TableText"/>
              <w:keepNext w:val="0"/>
              <w:spacing w:before="0" w:after="0"/>
              <w:jc w:val="both"/>
              <w:rPr>
                <w:rFonts w:ascii="Arial" w:hAnsi="Arial" w:cs="Arial"/>
                <w:color w:val="auto"/>
                <w:szCs w:val="20"/>
              </w:rPr>
            </w:pPr>
          </w:p>
        </w:tc>
      </w:tr>
      <w:tr w:rsidR="00EF6BC4" w:rsidRPr="00E07D13" w:rsidTr="003136CD">
        <w:tc>
          <w:tcPr>
            <w:tcW w:w="5000" w:type="pct"/>
            <w:shd w:val="clear" w:color="auto" w:fill="DAEEF3" w:themeFill="accent5" w:themeFillTint="33"/>
          </w:tcPr>
          <w:p w:rsidR="00EF6BC4" w:rsidRPr="00E07D13" w:rsidRDefault="00EF6BC4" w:rsidP="00B92506">
            <w:pPr>
              <w:pStyle w:val="TableText"/>
              <w:keepNext w:val="0"/>
              <w:numPr>
                <w:ilvl w:val="0"/>
                <w:numId w:val="14"/>
              </w:numPr>
              <w:spacing w:before="0" w:after="0"/>
              <w:jc w:val="both"/>
              <w:rPr>
                <w:rFonts w:ascii="Arial" w:hAnsi="Arial" w:cs="Arial"/>
                <w:color w:val="auto"/>
                <w:szCs w:val="20"/>
              </w:rPr>
            </w:pPr>
          </w:p>
        </w:tc>
      </w:tr>
      <w:tr w:rsidR="00EF6BC4" w:rsidRPr="00E07D13" w:rsidTr="003136CD">
        <w:tc>
          <w:tcPr>
            <w:tcW w:w="5000" w:type="pct"/>
          </w:tcPr>
          <w:p w:rsidR="00EF6BC4" w:rsidRPr="00E07D13" w:rsidRDefault="00EF6BC4" w:rsidP="003136CD">
            <w:pPr>
              <w:pStyle w:val="TableText"/>
              <w:keepNext w:val="0"/>
              <w:spacing w:before="0" w:after="0"/>
              <w:jc w:val="both"/>
              <w:rPr>
                <w:rFonts w:ascii="Arial" w:hAnsi="Arial" w:cs="Arial"/>
                <w:color w:val="auto"/>
                <w:szCs w:val="20"/>
              </w:rPr>
            </w:pPr>
          </w:p>
          <w:p w:rsidR="00EF6BC4" w:rsidRPr="00E07D13" w:rsidRDefault="00EF6BC4" w:rsidP="003136CD">
            <w:pPr>
              <w:pStyle w:val="TableText"/>
              <w:keepNext w:val="0"/>
              <w:spacing w:before="0" w:after="0"/>
              <w:jc w:val="both"/>
              <w:rPr>
                <w:rFonts w:ascii="Arial" w:hAnsi="Arial" w:cs="Arial"/>
                <w:color w:val="auto"/>
                <w:szCs w:val="20"/>
              </w:rPr>
            </w:pPr>
          </w:p>
          <w:p w:rsidR="00EF6BC4" w:rsidRPr="00E07D13" w:rsidRDefault="00EF6BC4" w:rsidP="003136CD">
            <w:pPr>
              <w:pStyle w:val="TableText"/>
              <w:keepNext w:val="0"/>
              <w:spacing w:before="0" w:after="0"/>
              <w:jc w:val="both"/>
              <w:rPr>
                <w:rFonts w:ascii="Arial" w:hAnsi="Arial" w:cs="Arial"/>
                <w:color w:val="auto"/>
                <w:szCs w:val="20"/>
              </w:rPr>
            </w:pPr>
          </w:p>
        </w:tc>
      </w:tr>
    </w:tbl>
    <w:p w:rsidR="0023733D" w:rsidRDefault="0023733D" w:rsidP="00A43430">
      <w:pPr>
        <w:pStyle w:val="TableText"/>
        <w:keepNext w:val="0"/>
        <w:ind w:left="142"/>
        <w:jc w:val="both"/>
        <w:rPr>
          <w:rFonts w:ascii="Arial" w:hAnsi="Arial" w:cs="Arial"/>
          <w:color w:val="auto"/>
          <w:szCs w:val="20"/>
        </w:rPr>
      </w:pPr>
    </w:p>
    <w:p w:rsidR="00FD1C85" w:rsidRDefault="00FD1C85" w:rsidP="00A43430">
      <w:pPr>
        <w:pStyle w:val="TableText"/>
        <w:keepNext w:val="0"/>
        <w:ind w:left="142"/>
        <w:jc w:val="both"/>
        <w:rPr>
          <w:rFonts w:ascii="Arial" w:hAnsi="Arial" w:cs="Arial"/>
          <w:color w:val="auto"/>
          <w:szCs w:val="20"/>
        </w:rPr>
      </w:pPr>
    </w:p>
    <w:sectPr w:rsidR="00FD1C85" w:rsidSect="00E07D1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AD" w:rsidRDefault="00B25DAD" w:rsidP="00A43430">
      <w:pPr>
        <w:spacing w:after="0" w:line="240" w:lineRule="auto"/>
      </w:pPr>
      <w:r>
        <w:separator/>
      </w:r>
    </w:p>
  </w:endnote>
  <w:endnote w:type="continuationSeparator" w:id="0">
    <w:p w:rsidR="00B25DAD" w:rsidRDefault="00B25DAD"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9" w:rsidRDefault="0047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061524"/>
      <w:docPartObj>
        <w:docPartGallery w:val="Page Numbers (Top of Page)"/>
        <w:docPartUnique/>
      </w:docPartObj>
    </w:sdtPr>
    <w:sdtEndPr/>
    <w:sdtContent>
      <w:p w:rsidR="00FE1F23" w:rsidRDefault="00FE1F23" w:rsidP="00192714">
        <w:pPr>
          <w:pStyle w:val="Header"/>
          <w:rPr>
            <w:rFonts w:ascii="Arial" w:hAnsi="Arial" w:cs="Arial"/>
            <w:sz w:val="20"/>
            <w:szCs w:val="20"/>
          </w:rPr>
        </w:pPr>
        <w:r>
          <w:rPr>
            <w:rFonts w:ascii="Arial" w:hAnsi="Arial" w:cs="Arial"/>
            <w:sz w:val="20"/>
            <w:szCs w:val="20"/>
          </w:rPr>
          <w:t xml:space="preserve">Osteopathy Board of Australia </w:t>
        </w:r>
      </w:p>
      <w:p w:rsidR="00FE1F23" w:rsidRDefault="007D7B6F" w:rsidP="00192714">
        <w:pPr>
          <w:pStyle w:val="Header"/>
          <w:rPr>
            <w:rFonts w:ascii="Arial" w:hAnsi="Arial" w:cs="Arial"/>
            <w:sz w:val="20"/>
            <w:szCs w:val="20"/>
          </w:rPr>
        </w:pPr>
        <w:r>
          <w:rPr>
            <w:rFonts w:ascii="Arial" w:hAnsi="Arial" w:cs="Arial"/>
            <w:sz w:val="20"/>
            <w:szCs w:val="20"/>
          </w:rPr>
          <w:t>Public</w:t>
        </w:r>
        <w:r w:rsidRPr="00FE1F23">
          <w:rPr>
            <w:rFonts w:ascii="Arial" w:hAnsi="Arial" w:cs="Arial"/>
            <w:sz w:val="20"/>
            <w:szCs w:val="20"/>
          </w:rPr>
          <w:t xml:space="preserve"> </w:t>
        </w:r>
        <w:r w:rsidR="00FE1F23" w:rsidRPr="00FE1F23">
          <w:rPr>
            <w:rFonts w:ascii="Arial" w:hAnsi="Arial" w:cs="Arial"/>
            <w:sz w:val="20"/>
            <w:szCs w:val="20"/>
          </w:rPr>
          <w:t xml:space="preserve">consultation on draft </w:t>
        </w:r>
        <w:r w:rsidR="007A056B">
          <w:rPr>
            <w:rFonts w:ascii="Arial" w:hAnsi="Arial" w:cs="Arial"/>
            <w:sz w:val="20"/>
            <w:szCs w:val="20"/>
          </w:rPr>
          <w:t xml:space="preserve">revised </w:t>
        </w:r>
        <w:r w:rsidR="00FE1F23" w:rsidRPr="00FE1F23">
          <w:rPr>
            <w:rFonts w:ascii="Arial" w:hAnsi="Arial" w:cs="Arial"/>
            <w:sz w:val="20"/>
            <w:szCs w:val="20"/>
          </w:rPr>
          <w:t xml:space="preserve">registration standards </w:t>
        </w:r>
      </w:p>
      <w:p w:rsidR="00FE1F23" w:rsidRDefault="00FE1F23" w:rsidP="00192714">
        <w:pPr>
          <w:pStyle w:val="Header"/>
          <w:rPr>
            <w:rFonts w:ascii="Arial" w:hAnsi="Arial" w:cs="Arial"/>
            <w:sz w:val="20"/>
            <w:szCs w:val="20"/>
          </w:rPr>
        </w:pPr>
        <w:r>
          <w:rPr>
            <w:rFonts w:ascii="Arial" w:hAnsi="Arial" w:cs="Arial"/>
            <w:sz w:val="20"/>
            <w:szCs w:val="20"/>
          </w:rPr>
          <w:t xml:space="preserve">Responses to consultation questions </w:t>
        </w:r>
        <w:r w:rsidR="007D7B6F">
          <w:rPr>
            <w:rFonts w:ascii="Arial" w:hAnsi="Arial" w:cs="Arial"/>
            <w:sz w:val="20"/>
            <w:szCs w:val="20"/>
          </w:rPr>
          <w:t>April 2014</w:t>
        </w:r>
      </w:p>
      <w:p w:rsidR="00FE1F23" w:rsidRDefault="00FE1F23"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680880" w:rsidRPr="009D3653">
          <w:rPr>
            <w:rFonts w:ascii="Arial" w:hAnsi="Arial" w:cs="Arial"/>
            <w:sz w:val="18"/>
            <w:szCs w:val="18"/>
          </w:rPr>
          <w:fldChar w:fldCharType="begin"/>
        </w:r>
        <w:r w:rsidRPr="009D3653">
          <w:rPr>
            <w:rFonts w:ascii="Arial" w:hAnsi="Arial" w:cs="Arial"/>
            <w:sz w:val="18"/>
            <w:szCs w:val="18"/>
          </w:rPr>
          <w:instrText xml:space="preserve"> PAGE </w:instrText>
        </w:r>
        <w:r w:rsidR="00680880" w:rsidRPr="009D3653">
          <w:rPr>
            <w:rFonts w:ascii="Arial" w:hAnsi="Arial" w:cs="Arial"/>
            <w:sz w:val="18"/>
            <w:szCs w:val="18"/>
          </w:rPr>
          <w:fldChar w:fldCharType="separate"/>
        </w:r>
        <w:r w:rsidR="004763C9">
          <w:rPr>
            <w:rFonts w:ascii="Arial" w:hAnsi="Arial" w:cs="Arial"/>
            <w:noProof/>
            <w:sz w:val="18"/>
            <w:szCs w:val="18"/>
          </w:rPr>
          <w:t>6</w:t>
        </w:r>
        <w:r w:rsidR="00680880" w:rsidRPr="009D3653">
          <w:rPr>
            <w:rFonts w:ascii="Arial" w:hAnsi="Arial" w:cs="Arial"/>
            <w:sz w:val="18"/>
            <w:szCs w:val="18"/>
          </w:rPr>
          <w:fldChar w:fldCharType="end"/>
        </w:r>
        <w:r w:rsidRPr="009D3653">
          <w:rPr>
            <w:rFonts w:ascii="Arial" w:hAnsi="Arial" w:cs="Arial"/>
            <w:sz w:val="18"/>
            <w:szCs w:val="18"/>
          </w:rPr>
          <w:t xml:space="preserve"> of </w:t>
        </w:r>
        <w:r w:rsidR="00680880"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680880" w:rsidRPr="009D3653">
          <w:rPr>
            <w:rFonts w:ascii="Arial" w:hAnsi="Arial" w:cs="Arial"/>
            <w:sz w:val="18"/>
            <w:szCs w:val="18"/>
          </w:rPr>
          <w:fldChar w:fldCharType="separate"/>
        </w:r>
        <w:r w:rsidR="004763C9">
          <w:rPr>
            <w:rFonts w:ascii="Arial" w:hAnsi="Arial" w:cs="Arial"/>
            <w:noProof/>
            <w:sz w:val="18"/>
            <w:szCs w:val="18"/>
          </w:rPr>
          <w:t>6</w:t>
        </w:r>
        <w:r w:rsidR="00680880" w:rsidRPr="009D3653">
          <w:rPr>
            <w:rFonts w:ascii="Arial" w:hAnsi="Arial" w:cs="Arial"/>
            <w:sz w:val="18"/>
            <w:szCs w:val="18"/>
          </w:rPr>
          <w:fldChar w:fldCharType="end"/>
        </w:r>
      </w:p>
    </w:sdtContent>
  </w:sdt>
  <w:p w:rsidR="00FE1F23" w:rsidRDefault="00FE1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23" w:rsidRPr="00192714" w:rsidRDefault="00FE1F23" w:rsidP="00192714">
    <w:pPr>
      <w:pStyle w:val="AHPRAfirstpagefooter"/>
      <w:rPr>
        <w:szCs w:val="18"/>
      </w:rPr>
    </w:pPr>
    <w:r>
      <w:rPr>
        <w:color w:val="007DC3"/>
        <w:szCs w:val="18"/>
      </w:rPr>
      <w:t xml:space="preserve"> Osteopathy </w:t>
    </w:r>
    <w:r w:rsidRPr="00192714">
      <w:rPr>
        <w:szCs w:val="18"/>
      </w:rPr>
      <w:t>Board of Australia</w:t>
    </w:r>
  </w:p>
  <w:p w:rsidR="00FE1F23" w:rsidRPr="00192714" w:rsidRDefault="00FE1F23" w:rsidP="00192714">
    <w:pPr>
      <w:pStyle w:val="AHPRAfooter"/>
      <w:jc w:val="center"/>
      <w:rPr>
        <w:rFonts w:ascii="Arial" w:hAnsi="Arial" w:cs="Arial"/>
        <w:sz w:val="18"/>
        <w:szCs w:val="18"/>
      </w:rPr>
    </w:pPr>
    <w:r w:rsidRPr="00192714">
      <w:rPr>
        <w:rFonts w:ascii="Arial" w:hAnsi="Arial" w:cs="Arial"/>
        <w:sz w:val="18"/>
        <w:szCs w:val="18"/>
      </w:rPr>
      <w:t xml:space="preserve">G.P.O. Box 9958   </w:t>
    </w:r>
    <w:r w:rsidRPr="00192714">
      <w:rPr>
        <w:rFonts w:ascii="Arial" w:hAnsi="Arial" w:cs="Arial"/>
        <w:b/>
        <w:color w:val="007DC3"/>
        <w:sz w:val="18"/>
        <w:szCs w:val="18"/>
      </w:rPr>
      <w:t>|</w:t>
    </w:r>
    <w:r w:rsidRPr="00192714">
      <w:rPr>
        <w:rFonts w:ascii="Arial" w:hAnsi="Arial" w:cs="Arial"/>
        <w:sz w:val="18"/>
        <w:szCs w:val="18"/>
      </w:rPr>
      <w:t xml:space="preserve">   Melbourne VIC 3001   </w:t>
    </w:r>
    <w:r w:rsidRPr="00192714">
      <w:rPr>
        <w:rFonts w:ascii="Arial" w:hAnsi="Arial" w:cs="Arial"/>
        <w:b/>
        <w:color w:val="007DC3"/>
        <w:sz w:val="18"/>
        <w:szCs w:val="18"/>
      </w:rPr>
      <w:t>|</w:t>
    </w:r>
    <w:r>
      <w:rPr>
        <w:rFonts w:ascii="Arial" w:hAnsi="Arial" w:cs="Arial"/>
        <w:sz w:val="18"/>
        <w:szCs w:val="18"/>
      </w:rPr>
      <w:t xml:space="preserve">   www.osteopathy</w:t>
    </w:r>
    <w:r w:rsidRPr="00192714">
      <w:rPr>
        <w:rFonts w:ascii="Arial" w:hAnsi="Arial" w:cs="Arial"/>
        <w:sz w:val="18"/>
        <w:szCs w:val="18"/>
      </w:rPr>
      <w:t xml:space="preserve">board.gov.au   </w:t>
    </w:r>
    <w:r w:rsidRPr="00192714">
      <w:rPr>
        <w:rFonts w:ascii="Arial" w:hAnsi="Arial" w:cs="Arial"/>
        <w:b/>
        <w:color w:val="007DC3"/>
        <w:sz w:val="18"/>
        <w:szCs w:val="18"/>
      </w:rPr>
      <w:t>|</w:t>
    </w:r>
    <w:r w:rsidRPr="00192714">
      <w:rPr>
        <w:rFonts w:ascii="Arial" w:hAnsi="Arial" w:cs="Arial"/>
        <w:sz w:val="18"/>
        <w:szCs w:val="18"/>
      </w:rPr>
      <w:t xml:space="preserve">   1300 419 495</w:t>
    </w:r>
  </w:p>
  <w:p w:rsidR="00FE1F23" w:rsidRPr="00E07D13" w:rsidRDefault="00FE1F23"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AD" w:rsidRDefault="00B25DAD" w:rsidP="00A43430">
      <w:pPr>
        <w:spacing w:after="0" w:line="240" w:lineRule="auto"/>
      </w:pPr>
      <w:r>
        <w:separator/>
      </w:r>
    </w:p>
  </w:footnote>
  <w:footnote w:type="continuationSeparator" w:id="0">
    <w:p w:rsidR="00B25DAD" w:rsidRDefault="00B25DAD" w:rsidP="00A4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9" w:rsidRDefault="00476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C9" w:rsidRDefault="00476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23" w:rsidRDefault="00FE1F23" w:rsidP="00FE1F23">
    <w:pPr>
      <w:pStyle w:val="Header"/>
      <w:jc w:val="right"/>
    </w:pPr>
    <w:r w:rsidRPr="00FE1F23">
      <w:rPr>
        <w:noProof/>
        <w:lang w:eastAsia="en-AU"/>
      </w:rPr>
      <w:drawing>
        <wp:inline distT="0" distB="0" distL="0" distR="0">
          <wp:extent cx="1368152" cy="1368152"/>
          <wp:effectExtent l="19050" t="0" r="3448" b="0"/>
          <wp:docPr id="3" name="Picture 1" descr="AHPRA_OsteopathyBoardofAustralia"/>
          <wp:cNvGraphicFramePr/>
          <a:graphic xmlns:a="http://schemas.openxmlformats.org/drawingml/2006/main">
            <a:graphicData uri="http://schemas.openxmlformats.org/drawingml/2006/picture">
              <pic:pic xmlns:pic="http://schemas.openxmlformats.org/drawingml/2006/picture">
                <pic:nvPicPr>
                  <pic:cNvPr id="1030" name="Picture 6" descr="AHPRA_Osteopath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55A4"/>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BBA"/>
    <w:multiLevelType w:val="hybridMultilevel"/>
    <w:tmpl w:val="D3DAF26A"/>
    <w:lvl w:ilvl="0" w:tplc="B8FE68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B7D84"/>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07B0"/>
    <w:multiLevelType w:val="hybridMultilevel"/>
    <w:tmpl w:val="223C994E"/>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C58E7"/>
    <w:multiLevelType w:val="hybridMultilevel"/>
    <w:tmpl w:val="E482F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21673"/>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B140A"/>
    <w:multiLevelType w:val="hybridMultilevel"/>
    <w:tmpl w:val="FA1A7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2D4927"/>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E78E0"/>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D1B57"/>
    <w:multiLevelType w:val="hybridMultilevel"/>
    <w:tmpl w:val="3A762BDA"/>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6538F"/>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660B51"/>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5"/>
  </w:num>
  <w:num w:numId="4">
    <w:abstractNumId w:val="9"/>
  </w:num>
  <w:num w:numId="5">
    <w:abstractNumId w:val="13"/>
  </w:num>
  <w:num w:numId="6">
    <w:abstractNumId w:val="0"/>
  </w:num>
  <w:num w:numId="7">
    <w:abstractNumId w:val="18"/>
  </w:num>
  <w:num w:numId="8">
    <w:abstractNumId w:val="16"/>
  </w:num>
  <w:num w:numId="9">
    <w:abstractNumId w:val="8"/>
  </w:num>
  <w:num w:numId="10">
    <w:abstractNumId w:val="1"/>
  </w:num>
  <w:num w:numId="11">
    <w:abstractNumId w:val="4"/>
  </w:num>
  <w:num w:numId="12">
    <w:abstractNumId w:val="14"/>
  </w:num>
  <w:num w:numId="13">
    <w:abstractNumId w:val="2"/>
  </w:num>
  <w:num w:numId="14">
    <w:abstractNumId w:val="10"/>
  </w:num>
  <w:num w:numId="15">
    <w:abstractNumId w:val="3"/>
  </w:num>
  <w:num w:numId="16">
    <w:abstractNumId w:val="6"/>
  </w:num>
  <w:num w:numId="17">
    <w:abstractNumId w:val="1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659E"/>
    <w:rsid w:val="00003F0A"/>
    <w:rsid w:val="000255FE"/>
    <w:rsid w:val="000506EA"/>
    <w:rsid w:val="000B7044"/>
    <w:rsid w:val="000C51C7"/>
    <w:rsid w:val="000D22C5"/>
    <w:rsid w:val="001037F1"/>
    <w:rsid w:val="001064A7"/>
    <w:rsid w:val="001152F0"/>
    <w:rsid w:val="0013396B"/>
    <w:rsid w:val="00192714"/>
    <w:rsid w:val="001A300B"/>
    <w:rsid w:val="001A6FF0"/>
    <w:rsid w:val="001E4F15"/>
    <w:rsid w:val="001F419C"/>
    <w:rsid w:val="001F63F8"/>
    <w:rsid w:val="001F7A6B"/>
    <w:rsid w:val="00212D28"/>
    <w:rsid w:val="00232339"/>
    <w:rsid w:val="0023733D"/>
    <w:rsid w:val="002D6FEB"/>
    <w:rsid w:val="00312D1D"/>
    <w:rsid w:val="003136CD"/>
    <w:rsid w:val="00325589"/>
    <w:rsid w:val="00362447"/>
    <w:rsid w:val="00374C1F"/>
    <w:rsid w:val="00395CC6"/>
    <w:rsid w:val="003E6E37"/>
    <w:rsid w:val="003F3C94"/>
    <w:rsid w:val="0041414F"/>
    <w:rsid w:val="00432B52"/>
    <w:rsid w:val="00437237"/>
    <w:rsid w:val="00460241"/>
    <w:rsid w:val="004763C9"/>
    <w:rsid w:val="00476E47"/>
    <w:rsid w:val="00487166"/>
    <w:rsid w:val="004922C9"/>
    <w:rsid w:val="00494B50"/>
    <w:rsid w:val="004A5405"/>
    <w:rsid w:val="004C567D"/>
    <w:rsid w:val="004E69DB"/>
    <w:rsid w:val="004F6E85"/>
    <w:rsid w:val="00547923"/>
    <w:rsid w:val="00566FD1"/>
    <w:rsid w:val="0058421F"/>
    <w:rsid w:val="005B11D8"/>
    <w:rsid w:val="005C40C4"/>
    <w:rsid w:val="005C7A84"/>
    <w:rsid w:val="005D6C58"/>
    <w:rsid w:val="005E3845"/>
    <w:rsid w:val="00612158"/>
    <w:rsid w:val="00613AD4"/>
    <w:rsid w:val="006266AB"/>
    <w:rsid w:val="00670A41"/>
    <w:rsid w:val="00680880"/>
    <w:rsid w:val="00687482"/>
    <w:rsid w:val="0069209F"/>
    <w:rsid w:val="006D6103"/>
    <w:rsid w:val="006E2D73"/>
    <w:rsid w:val="006E7EB2"/>
    <w:rsid w:val="006F021B"/>
    <w:rsid w:val="006F7645"/>
    <w:rsid w:val="0072456E"/>
    <w:rsid w:val="00730933"/>
    <w:rsid w:val="0078580E"/>
    <w:rsid w:val="007A056B"/>
    <w:rsid w:val="007A2F31"/>
    <w:rsid w:val="007B3BE5"/>
    <w:rsid w:val="007D237D"/>
    <w:rsid w:val="007D7B6F"/>
    <w:rsid w:val="00804B71"/>
    <w:rsid w:val="008065EE"/>
    <w:rsid w:val="00813FD3"/>
    <w:rsid w:val="00821E14"/>
    <w:rsid w:val="00836CA7"/>
    <w:rsid w:val="00850E2C"/>
    <w:rsid w:val="0086452C"/>
    <w:rsid w:val="008A32BE"/>
    <w:rsid w:val="009062D9"/>
    <w:rsid w:val="0093789E"/>
    <w:rsid w:val="009B4B0D"/>
    <w:rsid w:val="009C53C9"/>
    <w:rsid w:val="00A013D4"/>
    <w:rsid w:val="00A24C6E"/>
    <w:rsid w:val="00A43430"/>
    <w:rsid w:val="00A95B18"/>
    <w:rsid w:val="00AC50DC"/>
    <w:rsid w:val="00AC5B1C"/>
    <w:rsid w:val="00AD021B"/>
    <w:rsid w:val="00B12E0A"/>
    <w:rsid w:val="00B25DAD"/>
    <w:rsid w:val="00B422F4"/>
    <w:rsid w:val="00B61814"/>
    <w:rsid w:val="00B62F99"/>
    <w:rsid w:val="00B66505"/>
    <w:rsid w:val="00B85528"/>
    <w:rsid w:val="00B92506"/>
    <w:rsid w:val="00B950B5"/>
    <w:rsid w:val="00BD623A"/>
    <w:rsid w:val="00BE2250"/>
    <w:rsid w:val="00C04855"/>
    <w:rsid w:val="00C0786C"/>
    <w:rsid w:val="00C26955"/>
    <w:rsid w:val="00C3659E"/>
    <w:rsid w:val="00C96543"/>
    <w:rsid w:val="00CD37E6"/>
    <w:rsid w:val="00CF18BE"/>
    <w:rsid w:val="00D064E2"/>
    <w:rsid w:val="00D367BB"/>
    <w:rsid w:val="00D42C96"/>
    <w:rsid w:val="00D666E3"/>
    <w:rsid w:val="00D8397E"/>
    <w:rsid w:val="00D866D4"/>
    <w:rsid w:val="00D91023"/>
    <w:rsid w:val="00DB403D"/>
    <w:rsid w:val="00DB5474"/>
    <w:rsid w:val="00DC370B"/>
    <w:rsid w:val="00DC53CF"/>
    <w:rsid w:val="00DD1CFE"/>
    <w:rsid w:val="00DF4AF6"/>
    <w:rsid w:val="00E07D13"/>
    <w:rsid w:val="00E35D45"/>
    <w:rsid w:val="00E7034E"/>
    <w:rsid w:val="00EA003C"/>
    <w:rsid w:val="00EC766F"/>
    <w:rsid w:val="00EF6BC4"/>
    <w:rsid w:val="00F0723D"/>
    <w:rsid w:val="00F1330C"/>
    <w:rsid w:val="00F3352C"/>
    <w:rsid w:val="00F4241B"/>
    <w:rsid w:val="00F47F45"/>
    <w:rsid w:val="00FD1BBA"/>
    <w:rsid w:val="00FD1C85"/>
    <w:rsid w:val="00FE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3"/>
      </o:rules>
    </o:shapelayout>
  </w:shapeDefaults>
  <w:decimalSymbol w:val="."/>
  <w:listSeparator w:val=","/>
  <w15:docId w15:val="{014EBF12-09B4-4374-836F-84F98C05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semiHidden/>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714"/>
    <w:rPr>
      <w:rFonts w:ascii="Calibri" w:eastAsia="Times New Roman" w:hAnsi="Calibri" w:cs="Times New Roman"/>
      <w:lang w:val="en-AU"/>
    </w:rPr>
  </w:style>
  <w:style w:type="character" w:styleId="Hyperlink">
    <w:name w:val="Hyperlink"/>
    <w:uiPriority w:val="99"/>
    <w:unhideWhenUsed/>
    <w:rsid w:val="007B3BE5"/>
    <w:rPr>
      <w:color w:val="0000FF"/>
      <w:u w:val="single"/>
    </w:rPr>
  </w:style>
  <w:style w:type="paragraph" w:customStyle="1" w:styleId="AHPRAbody">
    <w:name w:val="AHPRA body"/>
    <w:basedOn w:val="Normal"/>
    <w:link w:val="AHPRAbodyChar"/>
    <w:qFormat/>
    <w:rsid w:val="007B3BE5"/>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7B3BE5"/>
    <w:rPr>
      <w:rFonts w:eastAsia="Cambria"/>
      <w:szCs w:val="24"/>
      <w:lang w:val="en-AU"/>
    </w:rPr>
  </w:style>
  <w:style w:type="paragraph" w:customStyle="1" w:styleId="Default">
    <w:name w:val="Default"/>
    <w:rsid w:val="003136CD"/>
    <w:pPr>
      <w:autoSpaceDE w:val="0"/>
      <w:autoSpaceDN w:val="0"/>
      <w:adjustRightInd w:val="0"/>
    </w:pPr>
    <w:rPr>
      <w:rFonts w:eastAsia="Cambri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eoboardconsultation@ahpr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0F8AD-505F-47AA-8B07-622F103C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Public consultation on draft registration standards</vt:lpstr>
    </vt:vector>
  </TitlesOfParts>
  <Company>AHPRA</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draft registration standards</dc:title>
  <dc:subject>Consultation submission</dc:subject>
  <dc:creator>Osteopathy Board</dc:creator>
  <cp:keywords>COCA</cp:keywords>
  <cp:lastModifiedBy>Tara Johnson</cp:lastModifiedBy>
  <cp:revision>4</cp:revision>
  <cp:lastPrinted>2015-06-15T02:00:00Z</cp:lastPrinted>
  <dcterms:created xsi:type="dcterms:W3CDTF">2015-06-15T01:58:00Z</dcterms:created>
  <dcterms:modified xsi:type="dcterms:W3CDTF">2015-06-15T02:03:00Z</dcterms:modified>
</cp:coreProperties>
</file>