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C3795C" w:rsidRDefault="00236365" w:rsidP="008A56B3">
      <w:pPr>
        <w:pStyle w:val="AHPRADocumenttitle"/>
      </w:pPr>
      <w:r w:rsidRPr="00236365">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05pt;margin-top:36.4pt;width:309.1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9D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"/>
        </w:pict>
      </w:r>
      <w:r w:rsidR="00984E15">
        <w:rPr>
          <w:noProof/>
          <w:lang w:val="en-US"/>
        </w:rPr>
        <w:t>Communiqué</w:t>
      </w:r>
    </w:p>
    <w:p w:rsidR="009138F9" w:rsidRDefault="009138F9" w:rsidP="000E29C2">
      <w:pPr>
        <w:spacing w:line="360" w:lineRule="auto"/>
      </w:pPr>
    </w:p>
    <w:p w:rsidR="00622247" w:rsidRDefault="00146F33" w:rsidP="00984E15">
      <w:pPr>
        <w:pStyle w:val="AHPRADocumentsubheading"/>
      </w:pPr>
      <w:r>
        <w:t>23 April</w:t>
      </w:r>
      <w:r w:rsidR="00C7035B">
        <w:t xml:space="preserve"> 2015</w:t>
      </w:r>
      <w:r w:rsidR="00984E15" w:rsidRPr="00984E15">
        <w:t xml:space="preserve"> meeting of the Osteopathy Board of Australia</w:t>
      </w:r>
    </w:p>
    <w:p w:rsidR="00984E15" w:rsidRDefault="00984E15" w:rsidP="00984E15">
      <w:pPr>
        <w:pStyle w:val="AHPRAbody"/>
      </w:pPr>
      <w:r>
        <w:rPr>
          <w:rFonts w:cs="Arial"/>
          <w:color w:val="000000"/>
        </w:rPr>
        <w:t xml:space="preserve">The </w:t>
      </w:r>
      <w:r w:rsidR="00C7035B">
        <w:rPr>
          <w:rFonts w:cs="Arial"/>
          <w:color w:val="000000"/>
        </w:rPr>
        <w:t>6</w:t>
      </w:r>
      <w:r w:rsidR="00146F33">
        <w:rPr>
          <w:rFonts w:cs="Arial"/>
          <w:color w:val="000000"/>
        </w:rPr>
        <w:t>7</w:t>
      </w:r>
      <w:r w:rsidR="00C7035B" w:rsidRPr="00663202">
        <w:rPr>
          <w:rFonts w:cs="Arial"/>
          <w:color w:val="000000"/>
          <w:vertAlign w:val="superscript"/>
        </w:rPr>
        <w:t>th</w:t>
      </w:r>
      <w:r w:rsidR="00C7035B">
        <w:rPr>
          <w:rFonts w:cs="Arial"/>
          <w:color w:val="000000"/>
          <w:vertAlign w:val="superscript"/>
        </w:rPr>
        <w:t xml:space="preserve"> </w:t>
      </w:r>
      <w:r w:rsidRPr="00DF1D2B">
        <w:rPr>
          <w:rFonts w:cs="Arial"/>
          <w:color w:val="000000"/>
        </w:rPr>
        <w:t xml:space="preserve">meeting of the Osteopathy Board of Australia </w:t>
      </w:r>
      <w:r>
        <w:rPr>
          <w:rFonts w:cs="Arial"/>
          <w:color w:val="000000"/>
        </w:rPr>
        <w:t>(the Board) was</w:t>
      </w:r>
      <w:r w:rsidRPr="00DF1D2B">
        <w:rPr>
          <w:rFonts w:cs="Arial"/>
          <w:color w:val="000000"/>
        </w:rPr>
        <w:t xml:space="preserve"> held</w:t>
      </w:r>
      <w:r>
        <w:rPr>
          <w:rFonts w:cs="Arial"/>
          <w:color w:val="000000"/>
        </w:rPr>
        <w:t xml:space="preserve"> on</w:t>
      </w:r>
      <w:r w:rsidRPr="00EE5AB8">
        <w:rPr>
          <w:lang w:val="en-GB"/>
        </w:rPr>
        <w:t xml:space="preserve"> </w:t>
      </w:r>
      <w:r w:rsidR="00146F33">
        <w:rPr>
          <w:lang w:val="en-GB"/>
        </w:rPr>
        <w:t>23 April</w:t>
      </w:r>
      <w:r w:rsidR="00C7035B">
        <w:rPr>
          <w:lang w:val="en-GB"/>
        </w:rPr>
        <w:t xml:space="preserve"> 2015</w:t>
      </w:r>
      <w:r>
        <w:rPr>
          <w:lang w:val="en-GB"/>
        </w:rPr>
        <w:t xml:space="preserve"> in Melbourne</w:t>
      </w:r>
      <w:r>
        <w:rPr>
          <w:rFonts w:cs="Arial"/>
        </w:rPr>
        <w:t xml:space="preserve">. </w:t>
      </w:r>
      <w:r w:rsidRPr="000E3140">
        <w:t>This communiqué highlights key discussions and considerations from the Board’s</w:t>
      </w:r>
      <w:r>
        <w:t xml:space="preserve"> meeting. The Board publishes</w:t>
      </w:r>
      <w:r w:rsidRPr="00F362BF">
        <w:t xml:space="preserve"> this communiqué on our website and email</w:t>
      </w:r>
      <w:r>
        <w:t>s</w:t>
      </w:r>
      <w:r w:rsidRPr="00F362BF">
        <w:t xml:space="preserve"> it to a broad range of stakeholders. </w:t>
      </w:r>
      <w:r w:rsidRPr="00D97E48">
        <w:rPr>
          <w:rFonts w:cs="Arial"/>
        </w:rPr>
        <w:t xml:space="preserve">At each meeting, the Board considers a wide range of issues, many of which are routine and are </w:t>
      </w:r>
      <w:r>
        <w:rPr>
          <w:rFonts w:cs="Arial"/>
        </w:rPr>
        <w:t>not included in this communiqué</w:t>
      </w:r>
      <w:r w:rsidRPr="00F362BF">
        <w:t>.</w:t>
      </w:r>
    </w:p>
    <w:p w:rsidR="00F40047" w:rsidRDefault="00F40047" w:rsidP="00F40047">
      <w:pPr>
        <w:pStyle w:val="AHPRASubhead"/>
      </w:pPr>
      <w:r>
        <w:t>Newsletter</w:t>
      </w:r>
    </w:p>
    <w:p w:rsidR="00F40047" w:rsidRPr="00F40047" w:rsidRDefault="00F40047" w:rsidP="000F3731">
      <w:pPr>
        <w:pStyle w:val="AHPRAbody"/>
        <w:rPr>
          <w:b/>
        </w:rPr>
      </w:pPr>
      <w:r w:rsidRPr="00F40047">
        <w:t xml:space="preserve">The Board has released its latest edition of the electronic newsletter: </w:t>
      </w:r>
      <w:hyperlink r:id="rId8" w:history="1">
        <w:r w:rsidRPr="00F40047">
          <w:rPr>
            <w:rStyle w:val="Hyperlink"/>
            <w:rFonts w:cs="Arial"/>
            <w:i/>
            <w:szCs w:val="20"/>
          </w:rPr>
          <w:t>Registrant Update</w:t>
        </w:r>
      </w:hyperlink>
      <w:r w:rsidRPr="00F40047">
        <w:t>.</w:t>
      </w:r>
    </w:p>
    <w:p w:rsidR="004671AD" w:rsidRPr="00691D7E" w:rsidRDefault="004671AD" w:rsidP="004671AD">
      <w:pPr>
        <w:pStyle w:val="AHPRASubhead"/>
      </w:pPr>
      <w:r w:rsidRPr="00691D7E">
        <w:t xml:space="preserve">Australasian Osteopathic Accreditation Council </w:t>
      </w:r>
    </w:p>
    <w:p w:rsidR="004671AD" w:rsidRDefault="004671AD" w:rsidP="004671AD">
      <w:pPr>
        <w:pStyle w:val="AHPRAbody"/>
        <w:rPr>
          <w:szCs w:val="20"/>
        </w:rPr>
      </w:pPr>
      <w:r w:rsidRPr="005F393C">
        <w:rPr>
          <w:szCs w:val="20"/>
        </w:rPr>
        <w:t>The Board</w:t>
      </w:r>
      <w:r>
        <w:rPr>
          <w:szCs w:val="20"/>
        </w:rPr>
        <w:t xml:space="preserve">’s accreditation council, the Australasian Osteopathic Accreditation Council (AOAC) is undertaking several projects for the Board. Please refer to the AOAC’s </w:t>
      </w:r>
      <w:hyperlink r:id="rId9" w:history="1">
        <w:r w:rsidRPr="004671AD">
          <w:rPr>
            <w:rStyle w:val="Hyperlink"/>
            <w:szCs w:val="20"/>
          </w:rPr>
          <w:t>website</w:t>
        </w:r>
      </w:hyperlink>
      <w:r>
        <w:rPr>
          <w:szCs w:val="20"/>
        </w:rPr>
        <w:t xml:space="preserve"> for information on the following projects where the AOAC is seeking submissions and feedback. </w:t>
      </w:r>
    </w:p>
    <w:p w:rsidR="006F5172" w:rsidRPr="00E24D25" w:rsidRDefault="004671AD" w:rsidP="00DB325C">
      <w:pPr>
        <w:pStyle w:val="AHPRAbody"/>
        <w:rPr>
          <w:rFonts w:cs="Arial"/>
          <w:i/>
          <w:szCs w:val="20"/>
        </w:rPr>
      </w:pPr>
      <w:r w:rsidRPr="004671AD">
        <w:t xml:space="preserve">The </w:t>
      </w:r>
      <w:r w:rsidR="009B0D84" w:rsidRPr="00A041DF">
        <w:rPr>
          <w:b/>
        </w:rPr>
        <w:t xml:space="preserve">Review </w:t>
      </w:r>
      <w:r w:rsidRPr="00A041DF">
        <w:rPr>
          <w:b/>
        </w:rPr>
        <w:t>of the competent authority pathway</w:t>
      </w:r>
      <w:r w:rsidRPr="004671AD">
        <w:t xml:space="preserve"> </w:t>
      </w:r>
      <w:hyperlink r:id="rId10" w:history="1">
        <w:r w:rsidRPr="009B0D84">
          <w:rPr>
            <w:rStyle w:val="Hyperlink"/>
          </w:rPr>
          <w:t>online survey</w:t>
        </w:r>
      </w:hyperlink>
      <w:r w:rsidR="00DB325C">
        <w:t xml:space="preserve"> </w:t>
      </w:r>
      <w:r w:rsidRPr="004671AD">
        <w:t xml:space="preserve">is open until </w:t>
      </w:r>
      <w:r w:rsidRPr="004671AD">
        <w:rPr>
          <w:b/>
        </w:rPr>
        <w:t>31 May 2015</w:t>
      </w:r>
      <w:r w:rsidR="009B0D84">
        <w:t>.</w:t>
      </w:r>
      <w:r w:rsidR="00DB325C">
        <w:rPr>
          <w:rFonts w:cs="Arial"/>
          <w:b/>
          <w:i/>
          <w:sz w:val="18"/>
          <w:szCs w:val="18"/>
        </w:rPr>
        <w:t xml:space="preserve"> </w:t>
      </w:r>
      <w:r w:rsidR="00A041DF">
        <w:rPr>
          <w:rFonts w:cs="Arial"/>
          <w:b/>
          <w:i/>
          <w:sz w:val="18"/>
          <w:szCs w:val="18"/>
        </w:rPr>
        <w:br/>
      </w:r>
      <w:r w:rsidR="00DB325C" w:rsidRPr="00E24D25">
        <w:rPr>
          <w:rFonts w:cs="Arial"/>
          <w:i/>
          <w:szCs w:val="20"/>
        </w:rPr>
        <w:t>Note</w:t>
      </w:r>
      <w:r w:rsidR="006F5172" w:rsidRPr="00E24D25">
        <w:rPr>
          <w:rFonts w:cs="Arial"/>
          <w:i/>
          <w:szCs w:val="20"/>
        </w:rPr>
        <w:t>:</w:t>
      </w:r>
      <w:r w:rsidR="006F5172" w:rsidRPr="00E24D25">
        <w:rPr>
          <w:i/>
          <w:szCs w:val="20"/>
        </w:rPr>
        <w:t xml:space="preserve"> When you click on the </w:t>
      </w:r>
      <w:r w:rsidR="00DB325C" w:rsidRPr="00E24D25">
        <w:rPr>
          <w:i/>
          <w:szCs w:val="20"/>
        </w:rPr>
        <w:t>online survey link</w:t>
      </w:r>
      <w:r w:rsidR="006F5172" w:rsidRPr="00E24D25">
        <w:rPr>
          <w:i/>
          <w:szCs w:val="20"/>
        </w:rPr>
        <w:t xml:space="preserve">, you will be taken to a survey on a third party website, hosted by </w:t>
      </w:r>
      <w:proofErr w:type="spellStart"/>
      <w:r w:rsidR="006F5172" w:rsidRPr="00E24D25">
        <w:rPr>
          <w:i/>
          <w:szCs w:val="20"/>
        </w:rPr>
        <w:t>SurveyMonkey</w:t>
      </w:r>
      <w:proofErr w:type="spellEnd"/>
      <w:r w:rsidR="006F5172" w:rsidRPr="00E24D25">
        <w:rPr>
          <w:i/>
          <w:szCs w:val="20"/>
        </w:rPr>
        <w:t xml:space="preserve">. The information you provide will be handled in accordance with the privacy policy of </w:t>
      </w:r>
      <w:proofErr w:type="spellStart"/>
      <w:r w:rsidR="006F5172" w:rsidRPr="00E24D25">
        <w:rPr>
          <w:i/>
          <w:szCs w:val="20"/>
        </w:rPr>
        <w:t>SurveyMonkey</w:t>
      </w:r>
      <w:proofErr w:type="spellEnd"/>
      <w:r w:rsidR="006F5172" w:rsidRPr="00E24D25">
        <w:rPr>
          <w:i/>
          <w:szCs w:val="20"/>
        </w:rPr>
        <w:t xml:space="preserve"> accessible </w:t>
      </w:r>
      <w:hyperlink r:id="rId11" w:history="1">
        <w:r w:rsidR="006F5172" w:rsidRPr="00E24D25">
          <w:rPr>
            <w:rStyle w:val="Hyperlink"/>
            <w:rFonts w:cs="Arial"/>
            <w:i/>
            <w:szCs w:val="20"/>
          </w:rPr>
          <w:t>here</w:t>
        </w:r>
      </w:hyperlink>
      <w:r w:rsidR="00A041DF" w:rsidRPr="00E24D25">
        <w:rPr>
          <w:rFonts w:cs="Arial"/>
          <w:i/>
          <w:szCs w:val="20"/>
        </w:rPr>
        <w:t>.</w:t>
      </w:r>
    </w:p>
    <w:p w:rsidR="00A041DF" w:rsidRDefault="004671AD" w:rsidP="000F3731">
      <w:pPr>
        <w:pStyle w:val="AHPRAbody"/>
        <w:rPr>
          <w:i/>
          <w:iCs/>
        </w:rPr>
      </w:pPr>
      <w:r>
        <w:t xml:space="preserve">Comments are now invited as part of the </w:t>
      </w:r>
      <w:r w:rsidRPr="00E24D25">
        <w:t>public consultation</w:t>
      </w:r>
      <w:r>
        <w:t xml:space="preserve"> on the draft revised</w:t>
      </w:r>
      <w:r w:rsidR="00A041DF">
        <w:t>:</w:t>
      </w:r>
      <w:r>
        <w:rPr>
          <w:i/>
          <w:iCs/>
        </w:rPr>
        <w:t xml:space="preserve"> </w:t>
      </w:r>
    </w:p>
    <w:p w:rsidR="00A041DF" w:rsidRDefault="00236365" w:rsidP="00E24D25">
      <w:pPr>
        <w:pStyle w:val="AHPRAbody"/>
        <w:numPr>
          <w:ilvl w:val="0"/>
          <w:numId w:val="47"/>
        </w:numPr>
      </w:pPr>
      <w:hyperlink r:id="rId12" w:history="1">
        <w:r w:rsidR="004671AD" w:rsidRPr="009B0D84">
          <w:rPr>
            <w:rStyle w:val="Hyperlink"/>
            <w:i/>
            <w:iCs/>
          </w:rPr>
          <w:t xml:space="preserve">Standards for Accreditation of Osteopathic </w:t>
        </w:r>
        <w:r w:rsidR="009B0D84" w:rsidRPr="009B0D84">
          <w:rPr>
            <w:rStyle w:val="Hyperlink"/>
            <w:i/>
            <w:iCs/>
          </w:rPr>
          <w:t xml:space="preserve">Programs of Study </w:t>
        </w:r>
        <w:r w:rsidR="004671AD" w:rsidRPr="009B0D84">
          <w:rPr>
            <w:rStyle w:val="Hyperlink"/>
            <w:i/>
            <w:iCs/>
          </w:rPr>
          <w:t>in Australia</w:t>
        </w:r>
      </w:hyperlink>
      <w:r w:rsidR="00A041DF">
        <w:rPr>
          <w:iCs/>
        </w:rPr>
        <w:t>,</w:t>
      </w:r>
      <w:bookmarkStart w:id="0" w:name="_GoBack"/>
      <w:bookmarkEnd w:id="0"/>
      <w:r w:rsidR="00A041DF">
        <w:rPr>
          <w:iCs/>
        </w:rPr>
        <w:t xml:space="preserve"> </w:t>
      </w:r>
      <w:r w:rsidR="004671AD">
        <w:t>and</w:t>
      </w:r>
    </w:p>
    <w:p w:rsidR="00A041DF" w:rsidRDefault="00236365" w:rsidP="00E24D25">
      <w:pPr>
        <w:pStyle w:val="AHPRAbody"/>
        <w:numPr>
          <w:ilvl w:val="0"/>
          <w:numId w:val="47"/>
        </w:numPr>
      </w:pPr>
      <w:hyperlink r:id="rId13" w:history="1">
        <w:r w:rsidR="004671AD" w:rsidRPr="009B0D84">
          <w:rPr>
            <w:rStyle w:val="Hyperlink"/>
            <w:i/>
            <w:iCs/>
          </w:rPr>
          <w:t>Capabilities for Osteopathic Practice</w:t>
        </w:r>
      </w:hyperlink>
      <w:r w:rsidR="004671AD">
        <w:t xml:space="preserve">. </w:t>
      </w:r>
    </w:p>
    <w:p w:rsidR="004671AD" w:rsidRDefault="004671AD" w:rsidP="000F3731">
      <w:pPr>
        <w:pStyle w:val="AHPRAbody"/>
        <w:rPr>
          <w:szCs w:val="20"/>
        </w:rPr>
      </w:pPr>
      <w:r>
        <w:t xml:space="preserve">Responses are due by close of business </w:t>
      </w:r>
      <w:r w:rsidR="00DB325C">
        <w:t xml:space="preserve">on </w:t>
      </w:r>
      <w:r w:rsidRPr="004671AD">
        <w:rPr>
          <w:b/>
        </w:rPr>
        <w:t>12 June 2015</w:t>
      </w:r>
      <w:r>
        <w:rPr>
          <w:b/>
        </w:rPr>
        <w:t>.</w:t>
      </w:r>
    </w:p>
    <w:p w:rsidR="00146F33" w:rsidRPr="00985BD9" w:rsidRDefault="00146F33" w:rsidP="00146F33">
      <w:pPr>
        <w:pStyle w:val="AHPRAbody"/>
        <w:tabs>
          <w:tab w:val="left" w:pos="0"/>
        </w:tabs>
        <w:rPr>
          <w:rFonts w:cs="Arial"/>
          <w:b/>
          <w:bCs/>
          <w:color w:val="008EC4"/>
          <w:szCs w:val="20"/>
        </w:rPr>
      </w:pPr>
      <w:r w:rsidRPr="00985BD9">
        <w:rPr>
          <w:rFonts w:cs="Arial"/>
          <w:b/>
          <w:bCs/>
          <w:color w:val="008EC4"/>
          <w:szCs w:val="20"/>
        </w:rPr>
        <w:t>Improving monitoring of conditions on practitioner registration</w:t>
      </w:r>
    </w:p>
    <w:p w:rsidR="00146F33" w:rsidRDefault="00146F33" w:rsidP="000F3731">
      <w:pPr>
        <w:pStyle w:val="AHPRAbody"/>
      </w:pPr>
      <w:r>
        <w:t>AHPRA has welcomed calls for stringent monitoring and swift detection of breaches in compliance by registered health practitioners with restrictions on their registration.</w:t>
      </w:r>
    </w:p>
    <w:p w:rsidR="00146F33" w:rsidRDefault="00146F33" w:rsidP="000F3731">
      <w:pPr>
        <w:pStyle w:val="AHPRAbody"/>
      </w:pPr>
      <w:r>
        <w:t>On 24 March 2015, the Queensland Office of the Health Ombudsman (OHO) published a report recommending a range of initiatives to strengthen monitoring and compliance in Queensland and the National Scheme.</w:t>
      </w:r>
    </w:p>
    <w:p w:rsidR="00146F33" w:rsidRDefault="00146F33" w:rsidP="000F3731">
      <w:pPr>
        <w:pStyle w:val="AHPRAbody"/>
      </w:pPr>
      <w:r>
        <w:t>The report’s recommendations affirm the sweeping changes AHPRA has already initiated to strengthen its compliance and monitoring program.</w:t>
      </w:r>
    </w:p>
    <w:p w:rsidR="00146F33" w:rsidRDefault="00146F33" w:rsidP="000F3731">
      <w:pPr>
        <w:pStyle w:val="AHPRAbody"/>
      </w:pPr>
      <w:r>
        <w:t xml:space="preserve">AHPRA’s detailed response to the OHO and the recommendations in the report is published in the </w:t>
      </w:r>
      <w:hyperlink r:id="rId14" w:anchor="submissions" w:history="1">
        <w:r>
          <w:rPr>
            <w:rStyle w:val="Hyperlink"/>
          </w:rPr>
          <w:t>Corporate publications</w:t>
        </w:r>
      </w:hyperlink>
      <w:r>
        <w:t xml:space="preserve"> section of AHPRA’s website.</w:t>
      </w:r>
    </w:p>
    <w:p w:rsidR="00146F33" w:rsidRDefault="00146F33" w:rsidP="000F3731">
      <w:pPr>
        <w:pStyle w:val="AHPRAbody"/>
      </w:pPr>
      <w:r>
        <w:t>Since July 2014, health complaints management in Queensland for registered health practitioners has involved a partnership between National Boards, AHPRA and the OHO.</w:t>
      </w:r>
    </w:p>
    <w:p w:rsidR="00146F33" w:rsidRDefault="00146F33" w:rsidP="000F3731">
      <w:pPr>
        <w:pStyle w:val="AHPRAbody"/>
      </w:pPr>
      <w:r>
        <w:t>Improvements to compliance monitoring add to the overhaul of complaints management in Queensland that started in 2012. Recent initiatives include preparation for stricter drug and alcohol screening announced in February 2015, the appointment of a national compliance manager and stronger national coordination of the compliance function.</w:t>
      </w:r>
    </w:p>
    <w:p w:rsidR="000F3731" w:rsidRDefault="00146F33" w:rsidP="00E24D25">
      <w:pPr>
        <w:pStyle w:val="AHPRAbody"/>
      </w:pPr>
      <w:r>
        <w:t xml:space="preserve">For more information, please read the </w:t>
      </w:r>
      <w:hyperlink r:id="rId15" w:history="1">
        <w:r>
          <w:rPr>
            <w:rStyle w:val="Hyperlink"/>
          </w:rPr>
          <w:t>media release</w:t>
        </w:r>
      </w:hyperlink>
      <w:r>
        <w:t xml:space="preserve"> on AHPRA’s website. </w:t>
      </w:r>
      <w:r w:rsidR="000F3731">
        <w:br w:type="page"/>
      </w:r>
    </w:p>
    <w:p w:rsidR="00984E15" w:rsidRPr="00984E15" w:rsidRDefault="00984E15" w:rsidP="00984E15">
      <w:pPr>
        <w:pStyle w:val="AHPRASubhead"/>
      </w:pPr>
      <w:r w:rsidRPr="00984E15">
        <w:lastRenderedPageBreak/>
        <w:t>Keeping in touch with the Board</w:t>
      </w:r>
    </w:p>
    <w:p w:rsidR="00984E15" w:rsidRDefault="00984E15" w:rsidP="00984E15">
      <w:pPr>
        <w:pStyle w:val="AHPRAbody"/>
      </w:pPr>
      <w:r>
        <w:t xml:space="preserve">The Board publishes a range of information about registration and the Board’s expectations of practitioners on its website at </w:t>
      </w:r>
      <w:hyperlink r:id="rId16" w:history="1">
        <w:r w:rsidRPr="00660816">
          <w:rPr>
            <w:rStyle w:val="Hyperlink"/>
            <w:rFonts w:cs="Arial"/>
            <w:szCs w:val="20"/>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ED2159" w:rsidRDefault="00ED2159" w:rsidP="00984E15">
      <w:pPr>
        <w:rPr>
          <w:szCs w:val="20"/>
          <w:lang w:val="en-US"/>
        </w:rPr>
      </w:pPr>
    </w:p>
    <w:p w:rsidR="003B5E14" w:rsidRDefault="00984E15">
      <w:pPr>
        <w:spacing w:after="0"/>
        <w:rPr>
          <w:color w:val="0070C0"/>
          <w:szCs w:val="20"/>
          <w:lang w:val="en-US"/>
        </w:rPr>
      </w:pPr>
      <w:r w:rsidRPr="00AE3701">
        <w:rPr>
          <w:szCs w:val="20"/>
          <w:lang w:val="en-US"/>
        </w:rPr>
        <w:t xml:space="preserve">Dr </w:t>
      </w:r>
      <w:r>
        <w:rPr>
          <w:szCs w:val="20"/>
          <w:lang w:val="en-US"/>
        </w:rPr>
        <w:t>Nikole Grbin (Osteopath</w:t>
      </w:r>
      <w:proofErr w:type="gramStart"/>
      <w:r>
        <w:rPr>
          <w:szCs w:val="20"/>
          <w:lang w:val="en-US"/>
        </w:rPr>
        <w:t>)</w:t>
      </w:r>
      <w:proofErr w:type="gramEnd"/>
      <w:r>
        <w:rPr>
          <w:szCs w:val="20"/>
          <w:lang w:val="en-US"/>
        </w:rPr>
        <w:br/>
      </w:r>
      <w:r w:rsidRPr="007D493A">
        <w:rPr>
          <w:color w:val="0070C0"/>
          <w:szCs w:val="20"/>
          <w:lang w:val="en-US"/>
        </w:rPr>
        <w:t>Chair</w:t>
      </w:r>
    </w:p>
    <w:p w:rsidR="00984E15" w:rsidRPr="00984E15" w:rsidRDefault="002169EA" w:rsidP="00984E15">
      <w:r>
        <w:rPr>
          <w:color w:val="0070C0"/>
          <w:szCs w:val="20"/>
          <w:lang w:val="en-US"/>
        </w:rPr>
        <w:t>Osteopathy Board of Australia</w:t>
      </w:r>
      <w:r w:rsidR="00984E15">
        <w:rPr>
          <w:color w:val="0070C0"/>
          <w:szCs w:val="20"/>
          <w:lang w:val="en-US"/>
        </w:rPr>
        <w:br/>
      </w:r>
      <w:r w:rsidR="00146F33">
        <w:rPr>
          <w:szCs w:val="20"/>
          <w:lang w:val="en-US"/>
        </w:rPr>
        <w:t>4 May</w:t>
      </w:r>
      <w:r w:rsidR="00984E15">
        <w:rPr>
          <w:szCs w:val="20"/>
        </w:rPr>
        <w:t xml:space="preserve"> 2015</w:t>
      </w:r>
    </w:p>
    <w:sectPr w:rsidR="00984E15" w:rsidRPr="00984E15" w:rsidSect="004B438E">
      <w:headerReference w:type="default" r:id="rId17"/>
      <w:footerReference w:type="even" r:id="rId18"/>
      <w:footerReference w:type="default" r:id="rId19"/>
      <w:headerReference w:type="first" r:id="rId20"/>
      <w:pgSz w:w="11900" w:h="16840"/>
      <w:pgMar w:top="1392" w:right="1247" w:bottom="992" w:left="1247"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3E" w:rsidRDefault="0097193E" w:rsidP="008A56B3">
      <w:r>
        <w:separator/>
      </w:r>
    </w:p>
    <w:p w:rsidR="0097193E" w:rsidRDefault="0097193E" w:rsidP="008A56B3"/>
  </w:endnote>
  <w:endnote w:type="continuationSeparator" w:id="0">
    <w:p w:rsidR="0097193E" w:rsidRDefault="0097193E" w:rsidP="008A56B3">
      <w:r>
        <w:continuationSeparator/>
      </w:r>
    </w:p>
    <w:p w:rsidR="0097193E" w:rsidRDefault="0097193E" w:rsidP="008A56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AD" w:rsidRDefault="00236365" w:rsidP="008A56B3">
    <w:pPr>
      <w:pStyle w:val="AHPRAfootnote"/>
    </w:pPr>
    <w:r>
      <w:fldChar w:fldCharType="begin"/>
    </w:r>
    <w:r w:rsidR="004671AD">
      <w:instrText xml:space="preserve">PAGE  </w:instrText>
    </w:r>
    <w:r>
      <w:fldChar w:fldCharType="end"/>
    </w:r>
  </w:p>
  <w:p w:rsidR="004671AD" w:rsidRDefault="004671AD" w:rsidP="008A56B3">
    <w:pPr>
      <w:pStyle w:val="AHPRAfootnote"/>
    </w:pPr>
  </w:p>
  <w:p w:rsidR="004671AD" w:rsidRDefault="004671AD" w:rsidP="008A56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AD" w:rsidRPr="000E7E28" w:rsidRDefault="00236365" w:rsidP="007840D7">
    <w:pPr>
      <w:pStyle w:val="AHPRApagenumber"/>
      <w:tabs>
        <w:tab w:val="center" w:pos="4536"/>
        <w:tab w:val="right" w:pos="9356"/>
      </w:tabs>
      <w:ind w:right="-233"/>
      <w:jc w:val="left"/>
    </w:pPr>
    <w:fldSimple w:instr=" STYLEREF &quot;AHPRA Document title&quot; \* MERGEFORMAT ">
      <w:r w:rsidR="003D53A3">
        <w:rPr>
          <w:noProof/>
        </w:rPr>
        <w:t>Communiqué</w:t>
      </w:r>
    </w:fldSimple>
    <w:r w:rsidR="004671AD">
      <w:t xml:space="preserve"> / </w:t>
    </w:r>
    <w:r>
      <w:fldChar w:fldCharType="begin"/>
    </w:r>
    <w:r w:rsidR="009C00BE">
      <w:instrText xml:space="preserve"> DATE \@ "d MMMM y" \* MERGEFORMAT </w:instrText>
    </w:r>
    <w:r>
      <w:fldChar w:fldCharType="separate"/>
    </w:r>
    <w:r w:rsidR="003D53A3">
      <w:rPr>
        <w:noProof/>
      </w:rPr>
      <w:t>5 May 15</w:t>
    </w:r>
    <w:r>
      <w:rPr>
        <w:noProof/>
      </w:rPr>
      <w:fldChar w:fldCharType="end"/>
    </w:r>
    <w:sdt>
      <w:sdtPr>
        <w:id w:val="16333165"/>
        <w:docPartObj>
          <w:docPartGallery w:val="Page Numbers (Top of Page)"/>
          <w:docPartUnique/>
        </w:docPartObj>
      </w:sdtPr>
      <w:sdtContent>
        <w:r w:rsidR="004671AD">
          <w:tab/>
        </w:r>
        <w:r w:rsidR="004671AD">
          <w:tab/>
        </w:r>
        <w:r w:rsidR="004671AD" w:rsidRPr="000E7E28">
          <w:t xml:space="preserve">Page </w:t>
        </w:r>
        <w:r>
          <w:fldChar w:fldCharType="begin"/>
        </w:r>
        <w:r w:rsidR="009C00BE">
          <w:instrText xml:space="preserve"> PAGE </w:instrText>
        </w:r>
        <w:r>
          <w:fldChar w:fldCharType="separate"/>
        </w:r>
        <w:r w:rsidR="003D53A3">
          <w:rPr>
            <w:noProof/>
          </w:rPr>
          <w:t>2</w:t>
        </w:r>
        <w:r>
          <w:rPr>
            <w:noProof/>
          </w:rPr>
          <w:fldChar w:fldCharType="end"/>
        </w:r>
        <w:r w:rsidR="004671AD" w:rsidRPr="000E7E28">
          <w:t xml:space="preserve"> of </w:t>
        </w:r>
        <w:r>
          <w:fldChar w:fldCharType="begin"/>
        </w:r>
        <w:r w:rsidR="009C00BE">
          <w:instrText xml:space="preserve"> NUMPAGES  </w:instrText>
        </w:r>
        <w:r>
          <w:fldChar w:fldCharType="separate"/>
        </w:r>
        <w:r w:rsidR="003D53A3">
          <w:rPr>
            <w:noProof/>
          </w:rPr>
          <w:t>2</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3E" w:rsidRDefault="0097193E" w:rsidP="008A56B3">
      <w:r>
        <w:separator/>
      </w:r>
    </w:p>
  </w:footnote>
  <w:footnote w:type="continuationSeparator" w:id="0">
    <w:p w:rsidR="0097193E" w:rsidRDefault="0097193E" w:rsidP="008A56B3">
      <w:r>
        <w:continuationSeparator/>
      </w:r>
    </w:p>
    <w:p w:rsidR="0097193E" w:rsidRDefault="0097193E" w:rsidP="008A56B3"/>
  </w:footnote>
  <w:footnote w:type="continuationNotice" w:id="1">
    <w:p w:rsidR="0097193E" w:rsidRDefault="0097193E" w:rsidP="008A56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AD" w:rsidRPr="00315933" w:rsidRDefault="004671AD" w:rsidP="008A56B3"/>
  <w:p w:rsidR="004671AD" w:rsidRDefault="004671AD" w:rsidP="008A56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AD" w:rsidRDefault="004671AD" w:rsidP="008A56B3">
    <w:r>
      <w:rPr>
        <w:noProof/>
        <w:szCs w:val="20"/>
        <w:lang w:val="en-US"/>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12700" b="0"/>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4671AD" w:rsidRDefault="004671AD" w:rsidP="008A56B3"/>
  <w:p w:rsidR="004671AD" w:rsidRDefault="004671AD" w:rsidP="008A56B3"/>
  <w:p w:rsidR="004671AD" w:rsidRDefault="004671AD" w:rsidP="008A56B3"/>
  <w:p w:rsidR="004671AD" w:rsidRDefault="004671AD" w:rsidP="008A56B3"/>
  <w:p w:rsidR="004671AD" w:rsidRDefault="004671AD" w:rsidP="008A56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89C"/>
    <w:multiLevelType w:val="hybridMultilevel"/>
    <w:tmpl w:val="56B4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80D"/>
    <w:multiLevelType w:val="hybridMultilevel"/>
    <w:tmpl w:val="13A4F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62734"/>
    <w:multiLevelType w:val="hybridMultilevel"/>
    <w:tmpl w:val="810AF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8BB17D6"/>
    <w:multiLevelType w:val="multilevel"/>
    <w:tmpl w:val="C4183F12"/>
    <w:numStyleLink w:val="AHPRANumberedlist"/>
  </w:abstractNum>
  <w:abstractNum w:abstractNumId="5">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nsid w:val="0D193D64"/>
    <w:multiLevelType w:val="hybridMultilevel"/>
    <w:tmpl w:val="A88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D3EC6"/>
    <w:multiLevelType w:val="hybridMultilevel"/>
    <w:tmpl w:val="CC7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F246B3"/>
    <w:multiLevelType w:val="hybridMultilevel"/>
    <w:tmpl w:val="0D4EE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1FD42B8"/>
    <w:multiLevelType w:val="hybridMultilevel"/>
    <w:tmpl w:val="BCA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2D19FF"/>
    <w:multiLevelType w:val="multilevel"/>
    <w:tmpl w:val="BE20683A"/>
    <w:numStyleLink w:val="AHPRANumberedheadinglist"/>
  </w:abstractNum>
  <w:abstractNum w:abstractNumId="13">
    <w:nsid w:val="15714E62"/>
    <w:multiLevelType w:val="hybridMultilevel"/>
    <w:tmpl w:val="B0B0F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D84F9D"/>
    <w:multiLevelType w:val="hybridMultilevel"/>
    <w:tmpl w:val="EDA21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173E2C"/>
    <w:multiLevelType w:val="hybridMultilevel"/>
    <w:tmpl w:val="DBD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E53EC"/>
    <w:multiLevelType w:val="hybridMultilevel"/>
    <w:tmpl w:val="F7D0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0416A0"/>
    <w:multiLevelType w:val="hybridMultilevel"/>
    <w:tmpl w:val="6652B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3D5E99"/>
    <w:multiLevelType w:val="hybridMultilevel"/>
    <w:tmpl w:val="C5B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954A25"/>
    <w:multiLevelType w:val="hybridMultilevel"/>
    <w:tmpl w:val="795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2578D"/>
    <w:multiLevelType w:val="multilevel"/>
    <w:tmpl w:val="BE20683A"/>
    <w:numStyleLink w:val="AHPRANumberedheadinglist"/>
  </w:abstractNum>
  <w:abstractNum w:abstractNumId="21">
    <w:nsid w:val="286A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1F4DC4"/>
    <w:multiLevelType w:val="hybridMultilevel"/>
    <w:tmpl w:val="3B1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AA74E5"/>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3B585523"/>
    <w:multiLevelType w:val="hybridMultilevel"/>
    <w:tmpl w:val="E29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B3714"/>
    <w:multiLevelType w:val="multilevel"/>
    <w:tmpl w:val="C4183F12"/>
    <w:numStyleLink w:val="AHPRANumberedlist"/>
  </w:abstractNum>
  <w:abstractNum w:abstractNumId="27">
    <w:nsid w:val="3E963C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224143C"/>
    <w:multiLevelType w:val="hybridMultilevel"/>
    <w:tmpl w:val="CCDA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252EB"/>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7A3ABE"/>
    <w:multiLevelType w:val="hybridMultilevel"/>
    <w:tmpl w:val="B30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937982"/>
    <w:multiLevelType w:val="hybridMultilevel"/>
    <w:tmpl w:val="75FC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04433A"/>
    <w:multiLevelType w:val="multilevel"/>
    <w:tmpl w:val="C4183F12"/>
    <w:numStyleLink w:val="AHPRANumberedlist"/>
  </w:abstractNum>
  <w:abstractNum w:abstractNumId="34">
    <w:nsid w:val="518E0391"/>
    <w:multiLevelType w:val="hybridMultilevel"/>
    <w:tmpl w:val="F92A7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20840D8"/>
    <w:multiLevelType w:val="hybridMultilevel"/>
    <w:tmpl w:val="BD6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B7666"/>
    <w:multiLevelType w:val="hybridMultilevel"/>
    <w:tmpl w:val="F18AC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B5D93"/>
    <w:multiLevelType w:val="multilevel"/>
    <w:tmpl w:val="3232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3B156F1"/>
    <w:multiLevelType w:val="hybridMultilevel"/>
    <w:tmpl w:val="6C8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8E73C72"/>
    <w:multiLevelType w:val="hybridMultilevel"/>
    <w:tmpl w:val="2346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CC55E0"/>
    <w:multiLevelType w:val="hybridMultilevel"/>
    <w:tmpl w:val="C96835DA"/>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E154B0"/>
    <w:multiLevelType w:val="multilevel"/>
    <w:tmpl w:val="C4183F12"/>
    <w:numStyleLink w:val="AHPRANumberedlist"/>
  </w:abstractNum>
  <w:abstractNum w:abstractNumId="43">
    <w:nsid w:val="7AE57532"/>
    <w:multiLevelType w:val="hybridMultilevel"/>
    <w:tmpl w:val="8B6C1C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2610BB"/>
    <w:multiLevelType w:val="hybridMultilevel"/>
    <w:tmpl w:val="FF68D3A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31660"/>
    <w:multiLevelType w:val="multilevel"/>
    <w:tmpl w:val="C4183F12"/>
    <w:numStyleLink w:val="AHPRANumberedlist"/>
  </w:abstractNum>
  <w:num w:numId="1">
    <w:abstractNumId w:val="41"/>
  </w:num>
  <w:num w:numId="2">
    <w:abstractNumId w:val="30"/>
  </w:num>
  <w:num w:numId="3">
    <w:abstractNumId w:val="5"/>
  </w:num>
  <w:num w:numId="4">
    <w:abstractNumId w:val="7"/>
  </w:num>
  <w:num w:numId="5">
    <w:abstractNumId w:val="12"/>
  </w:num>
  <w:num w:numId="6">
    <w:abstractNumId w:val="20"/>
  </w:num>
  <w:num w:numId="7">
    <w:abstractNumId w:val="4"/>
  </w:num>
  <w:num w:numId="8">
    <w:abstractNumId w:val="23"/>
  </w:num>
  <w:num w:numId="9">
    <w:abstractNumId w:val="44"/>
  </w:num>
  <w:num w:numId="10">
    <w:abstractNumId w:val="33"/>
  </w:num>
  <w:num w:numId="11">
    <w:abstractNumId w:val="6"/>
  </w:num>
  <w:num w:numId="12">
    <w:abstractNumId w:val="42"/>
  </w:num>
  <w:num w:numId="13">
    <w:abstractNumId w:val="45"/>
  </w:num>
  <w:num w:numId="14">
    <w:abstractNumId w:val="28"/>
  </w:num>
  <w:num w:numId="15">
    <w:abstractNumId w:val="36"/>
  </w:num>
  <w:num w:numId="16">
    <w:abstractNumId w:val="17"/>
  </w:num>
  <w:num w:numId="17">
    <w:abstractNumId w:val="2"/>
  </w:num>
  <w:num w:numId="18">
    <w:abstractNumId w:val="14"/>
  </w:num>
  <w:num w:numId="19">
    <w:abstractNumId w:val="16"/>
  </w:num>
  <w:num w:numId="20">
    <w:abstractNumId w:val="31"/>
  </w:num>
  <w:num w:numId="21">
    <w:abstractNumId w:val="8"/>
  </w:num>
  <w:num w:numId="22">
    <w:abstractNumId w:val="32"/>
  </w:num>
  <w:num w:numId="23">
    <w:abstractNumId w:val="35"/>
  </w:num>
  <w:num w:numId="24">
    <w:abstractNumId w:val="13"/>
  </w:num>
  <w:num w:numId="25">
    <w:abstractNumId w:val="43"/>
  </w:num>
  <w:num w:numId="26">
    <w:abstractNumId w:val="0"/>
  </w:num>
  <w:num w:numId="27">
    <w:abstractNumId w:val="34"/>
  </w:num>
  <w:num w:numId="28">
    <w:abstractNumId w:val="40"/>
  </w:num>
  <w:num w:numId="29">
    <w:abstractNumId w:val="15"/>
  </w:num>
  <w:num w:numId="30">
    <w:abstractNumId w:val="11"/>
  </w:num>
  <w:num w:numId="31">
    <w:abstractNumId w:val="9"/>
  </w:num>
  <w:num w:numId="32">
    <w:abstractNumId w:val="38"/>
  </w:num>
  <w:num w:numId="33">
    <w:abstractNumId w:val="18"/>
  </w:num>
  <w:num w:numId="34">
    <w:abstractNumId w:val="22"/>
  </w:num>
  <w:num w:numId="35">
    <w:abstractNumId w:val="1"/>
  </w:num>
  <w:num w:numId="36">
    <w:abstractNumId w:val="19"/>
  </w:num>
  <w:num w:numId="37">
    <w:abstractNumId w:val="25"/>
  </w:num>
  <w:num w:numId="38">
    <w:abstractNumId w:val="27"/>
  </w:num>
  <w:num w:numId="39">
    <w:abstractNumId w:val="24"/>
  </w:num>
  <w:num w:numId="40">
    <w:abstractNumId w:val="29"/>
  </w:num>
  <w:num w:numId="41">
    <w:abstractNumId w:val="21"/>
  </w:num>
  <w:num w:numId="42">
    <w:abstractNumId w:val="26"/>
  </w:num>
  <w:num w:numId="4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21"/>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rsids>
    <w:rsidRoot w:val="00984E15"/>
    <w:rsid w:val="00000033"/>
    <w:rsid w:val="00006922"/>
    <w:rsid w:val="00023904"/>
    <w:rsid w:val="000334D7"/>
    <w:rsid w:val="00052BF3"/>
    <w:rsid w:val="00061983"/>
    <w:rsid w:val="00071439"/>
    <w:rsid w:val="000945FB"/>
    <w:rsid w:val="000A6BF7"/>
    <w:rsid w:val="000E29C2"/>
    <w:rsid w:val="000E6D3A"/>
    <w:rsid w:val="000E7E28"/>
    <w:rsid w:val="000F3731"/>
    <w:rsid w:val="000F5D90"/>
    <w:rsid w:val="0010139F"/>
    <w:rsid w:val="0011487C"/>
    <w:rsid w:val="00144DEF"/>
    <w:rsid w:val="00146F33"/>
    <w:rsid w:val="001506FE"/>
    <w:rsid w:val="00162C6D"/>
    <w:rsid w:val="00196F14"/>
    <w:rsid w:val="001C425C"/>
    <w:rsid w:val="001D01AA"/>
    <w:rsid w:val="001E1E31"/>
    <w:rsid w:val="001E2849"/>
    <w:rsid w:val="001E4A94"/>
    <w:rsid w:val="001E5621"/>
    <w:rsid w:val="002169EA"/>
    <w:rsid w:val="00220A3B"/>
    <w:rsid w:val="00224708"/>
    <w:rsid w:val="0022736D"/>
    <w:rsid w:val="00236365"/>
    <w:rsid w:val="0028013F"/>
    <w:rsid w:val="00295B44"/>
    <w:rsid w:val="002B2D48"/>
    <w:rsid w:val="002C08FB"/>
    <w:rsid w:val="002C34EA"/>
    <w:rsid w:val="002D599C"/>
    <w:rsid w:val="00301BC0"/>
    <w:rsid w:val="00303BE1"/>
    <w:rsid w:val="00305AFC"/>
    <w:rsid w:val="003354E4"/>
    <w:rsid w:val="00393516"/>
    <w:rsid w:val="003B5E14"/>
    <w:rsid w:val="003D0B3C"/>
    <w:rsid w:val="003D53A3"/>
    <w:rsid w:val="003D6DBD"/>
    <w:rsid w:val="003E00B5"/>
    <w:rsid w:val="003E3268"/>
    <w:rsid w:val="003E6BB2"/>
    <w:rsid w:val="003F2F06"/>
    <w:rsid w:val="003F714C"/>
    <w:rsid w:val="00405C0A"/>
    <w:rsid w:val="00414AF0"/>
    <w:rsid w:val="00414F2C"/>
    <w:rsid w:val="00450B34"/>
    <w:rsid w:val="004606A7"/>
    <w:rsid w:val="00462F0F"/>
    <w:rsid w:val="004671AD"/>
    <w:rsid w:val="004A5E5D"/>
    <w:rsid w:val="004B438E"/>
    <w:rsid w:val="004B747B"/>
    <w:rsid w:val="004D7537"/>
    <w:rsid w:val="004F5C05"/>
    <w:rsid w:val="00516EF2"/>
    <w:rsid w:val="00530BFF"/>
    <w:rsid w:val="0053749F"/>
    <w:rsid w:val="00546B56"/>
    <w:rsid w:val="005518A4"/>
    <w:rsid w:val="00553A4C"/>
    <w:rsid w:val="00554335"/>
    <w:rsid w:val="005565CE"/>
    <w:rsid w:val="00565BBC"/>
    <w:rsid w:val="005708AE"/>
    <w:rsid w:val="005826C0"/>
    <w:rsid w:val="00586F30"/>
    <w:rsid w:val="005A0FA9"/>
    <w:rsid w:val="005C5932"/>
    <w:rsid w:val="005C6817"/>
    <w:rsid w:val="005E0245"/>
    <w:rsid w:val="005F393C"/>
    <w:rsid w:val="00616043"/>
    <w:rsid w:val="00622247"/>
    <w:rsid w:val="00622692"/>
    <w:rsid w:val="00640B2C"/>
    <w:rsid w:val="00652069"/>
    <w:rsid w:val="006600F0"/>
    <w:rsid w:val="00667CAD"/>
    <w:rsid w:val="00670F48"/>
    <w:rsid w:val="00672A98"/>
    <w:rsid w:val="00681D5E"/>
    <w:rsid w:val="006870F9"/>
    <w:rsid w:val="006C0257"/>
    <w:rsid w:val="006C0E29"/>
    <w:rsid w:val="006D30FE"/>
    <w:rsid w:val="006D3757"/>
    <w:rsid w:val="006D45FD"/>
    <w:rsid w:val="006D6D35"/>
    <w:rsid w:val="006F5172"/>
    <w:rsid w:val="006F585B"/>
    <w:rsid w:val="006F7348"/>
    <w:rsid w:val="006F796D"/>
    <w:rsid w:val="0070155F"/>
    <w:rsid w:val="007372A4"/>
    <w:rsid w:val="00741B04"/>
    <w:rsid w:val="00743DD2"/>
    <w:rsid w:val="00756249"/>
    <w:rsid w:val="0076115C"/>
    <w:rsid w:val="007664F3"/>
    <w:rsid w:val="007840D7"/>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2A8D"/>
    <w:rsid w:val="008A4C3B"/>
    <w:rsid w:val="008A56B3"/>
    <w:rsid w:val="008B2AD7"/>
    <w:rsid w:val="008D6B7E"/>
    <w:rsid w:val="008D7845"/>
    <w:rsid w:val="009031EA"/>
    <w:rsid w:val="009138F9"/>
    <w:rsid w:val="00923B23"/>
    <w:rsid w:val="009255BD"/>
    <w:rsid w:val="00937ED0"/>
    <w:rsid w:val="00952797"/>
    <w:rsid w:val="0097193E"/>
    <w:rsid w:val="009777D3"/>
    <w:rsid w:val="00984E15"/>
    <w:rsid w:val="009859E6"/>
    <w:rsid w:val="009A0A5D"/>
    <w:rsid w:val="009A21A6"/>
    <w:rsid w:val="009A7957"/>
    <w:rsid w:val="009B0D84"/>
    <w:rsid w:val="009C00BE"/>
    <w:rsid w:val="009C6933"/>
    <w:rsid w:val="009E4D57"/>
    <w:rsid w:val="009F3F6B"/>
    <w:rsid w:val="00A041DF"/>
    <w:rsid w:val="00A04C7A"/>
    <w:rsid w:val="00A058E5"/>
    <w:rsid w:val="00A10C1A"/>
    <w:rsid w:val="00A10F51"/>
    <w:rsid w:val="00A2072E"/>
    <w:rsid w:val="00A237BB"/>
    <w:rsid w:val="00A41D89"/>
    <w:rsid w:val="00A44A9E"/>
    <w:rsid w:val="00A458ED"/>
    <w:rsid w:val="00A509AB"/>
    <w:rsid w:val="00A76BFC"/>
    <w:rsid w:val="00A82078"/>
    <w:rsid w:val="00A838C8"/>
    <w:rsid w:val="00A86D88"/>
    <w:rsid w:val="00A91C42"/>
    <w:rsid w:val="00A91ED9"/>
    <w:rsid w:val="00A9516B"/>
    <w:rsid w:val="00A9780A"/>
    <w:rsid w:val="00AA00AF"/>
    <w:rsid w:val="00AA2FC9"/>
    <w:rsid w:val="00AB283D"/>
    <w:rsid w:val="00AB3A62"/>
    <w:rsid w:val="00AD312E"/>
    <w:rsid w:val="00AE3EAF"/>
    <w:rsid w:val="00B024B0"/>
    <w:rsid w:val="00B104B9"/>
    <w:rsid w:val="00B14866"/>
    <w:rsid w:val="00B34EDA"/>
    <w:rsid w:val="00B51748"/>
    <w:rsid w:val="00B57198"/>
    <w:rsid w:val="00B85023"/>
    <w:rsid w:val="00BA2456"/>
    <w:rsid w:val="00BA469B"/>
    <w:rsid w:val="00BB4A5B"/>
    <w:rsid w:val="00BF2534"/>
    <w:rsid w:val="00BF79DC"/>
    <w:rsid w:val="00C35DE1"/>
    <w:rsid w:val="00C3795C"/>
    <w:rsid w:val="00C524AA"/>
    <w:rsid w:val="00C54689"/>
    <w:rsid w:val="00C7035B"/>
    <w:rsid w:val="00C81B3A"/>
    <w:rsid w:val="00C85A14"/>
    <w:rsid w:val="00CB6C08"/>
    <w:rsid w:val="00CD0DCA"/>
    <w:rsid w:val="00CE5855"/>
    <w:rsid w:val="00D12F61"/>
    <w:rsid w:val="00D201C6"/>
    <w:rsid w:val="00D476D0"/>
    <w:rsid w:val="00D638E0"/>
    <w:rsid w:val="00D65016"/>
    <w:rsid w:val="00D716BA"/>
    <w:rsid w:val="00D83C90"/>
    <w:rsid w:val="00D8404D"/>
    <w:rsid w:val="00D87C12"/>
    <w:rsid w:val="00DB191A"/>
    <w:rsid w:val="00DB325C"/>
    <w:rsid w:val="00DC2952"/>
    <w:rsid w:val="00DF1AB7"/>
    <w:rsid w:val="00E07C02"/>
    <w:rsid w:val="00E11540"/>
    <w:rsid w:val="00E12B06"/>
    <w:rsid w:val="00E15BF6"/>
    <w:rsid w:val="00E24D25"/>
    <w:rsid w:val="00E27E24"/>
    <w:rsid w:val="00E54005"/>
    <w:rsid w:val="00E71CB9"/>
    <w:rsid w:val="00E73698"/>
    <w:rsid w:val="00E77E23"/>
    <w:rsid w:val="00E8251C"/>
    <w:rsid w:val="00E844A0"/>
    <w:rsid w:val="00EA248E"/>
    <w:rsid w:val="00ED2159"/>
    <w:rsid w:val="00F13ED2"/>
    <w:rsid w:val="00F27ACB"/>
    <w:rsid w:val="00F3616F"/>
    <w:rsid w:val="00F40047"/>
    <w:rsid w:val="00F51506"/>
    <w:rsid w:val="00F6618F"/>
    <w:rsid w:val="00F70DD5"/>
    <w:rsid w:val="00F73165"/>
    <w:rsid w:val="00F90BCE"/>
    <w:rsid w:val="00FC2881"/>
    <w:rsid w:val="00FD7DB5"/>
    <w:rsid w:val="00FD7D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99"/>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99"/>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qFormat="1"/>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1"/>
    <w:lsdException w:name="Strong" w:uiPriority="22" w:qFormat="1"/>
    <w:lsdException w:name="Emphasis" w:uiPriority="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99"/>
    <w:lsdException w:name="Balloon Text" w:uiPriority="99"/>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11"/>
      </w:numPr>
    </w:pPr>
  </w:style>
  <w:style w:type="paragraph" w:styleId="Heading3">
    <w:name w:val="heading 3"/>
    <w:basedOn w:val="AHPRASubheadinglevel3"/>
    <w:next w:val="Normal"/>
    <w:link w:val="Heading3Char"/>
    <w:uiPriority w:val="9"/>
    <w:unhideWhenUsed/>
    <w:qFormat/>
    <w:rsid w:val="008A56B3"/>
    <w:pPr>
      <w:numPr>
        <w:ilvl w:val="2"/>
        <w:numId w:val="11"/>
      </w:numPr>
      <w:outlineLvl w:val="2"/>
    </w:pPr>
  </w:style>
  <w:style w:type="paragraph" w:styleId="Heading4">
    <w:name w:val="heading 4"/>
    <w:basedOn w:val="Normal"/>
    <w:next w:val="Normal"/>
    <w:link w:val="Heading4Char"/>
    <w:uiPriority w:val="9"/>
    <w:semiHidden/>
    <w:unhideWhenUsed/>
    <w:rsid w:val="008A56B3"/>
    <w:pPr>
      <w:keepNext/>
      <w:keepLines/>
      <w:numPr>
        <w:ilvl w:val="3"/>
        <w:numId w:val="1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11"/>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2"/>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headings">
    <w:name w:val="Numbered headings"/>
    <w:basedOn w:val="Heading1"/>
    <w:next w:val="Normal"/>
    <w:rsid w:val="008A56B3"/>
    <w:pPr>
      <w:keepNext/>
      <w:numPr>
        <w:numId w:val="11"/>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42"/>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43"/>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43"/>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46"/>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Revision">
    <w:name w:val="Revision"/>
    <w:hidden/>
    <w:semiHidden/>
    <w:rsid w:val="00A041DF"/>
    <w:rPr>
      <w:rFonts w:cs="Arial"/>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99"/>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99"/>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qFormat="1"/>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1"/>
    <w:lsdException w:name="Strong" w:uiPriority="22" w:qFormat="1"/>
    <w:lsdException w:name="Emphasis" w:uiPriority="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99"/>
    <w:lsdException w:name="Balloon Text" w:uiPriority="99"/>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11"/>
      </w:numPr>
    </w:pPr>
  </w:style>
  <w:style w:type="paragraph" w:styleId="Heading3">
    <w:name w:val="heading 3"/>
    <w:basedOn w:val="AHPRASubheadinglevel3"/>
    <w:next w:val="Normal"/>
    <w:link w:val="Heading3Char"/>
    <w:uiPriority w:val="9"/>
    <w:unhideWhenUsed/>
    <w:qFormat/>
    <w:rsid w:val="008A56B3"/>
    <w:pPr>
      <w:numPr>
        <w:ilvl w:val="2"/>
        <w:numId w:val="11"/>
      </w:numPr>
      <w:outlineLvl w:val="2"/>
    </w:pPr>
  </w:style>
  <w:style w:type="paragraph" w:styleId="Heading4">
    <w:name w:val="heading 4"/>
    <w:basedOn w:val="Normal"/>
    <w:next w:val="Normal"/>
    <w:link w:val="Heading4Char"/>
    <w:uiPriority w:val="9"/>
    <w:semiHidden/>
    <w:unhideWhenUsed/>
    <w:rsid w:val="008A56B3"/>
    <w:pPr>
      <w:keepNext/>
      <w:keepLines/>
      <w:numPr>
        <w:ilvl w:val="3"/>
        <w:numId w:val="1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11"/>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2"/>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11"/>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42"/>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43"/>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43"/>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46"/>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Revision">
    <w:name w:val="Revision"/>
    <w:hidden/>
    <w:semiHidden/>
    <w:rsid w:val="00A041DF"/>
    <w:rPr>
      <w:rFonts w:cs="Arial"/>
      <w:szCs w:val="24"/>
      <w:lang w:val="en-AU"/>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News/Newsletters.aspx" TargetMode="External"/><Relationship Id="rId13" Type="http://schemas.openxmlformats.org/officeDocument/2006/relationships/hyperlink" Target="http://www.osteopathiccouncil.org.au/files/Capabilities%20for%20Public%20Consulta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steopathiccouncil.org.au/files/Accreditation%20Standards%20for%20Public%20Consultatio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steopathyboar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mp/policy/privacy-policy-20110627/" TargetMode="External"/><Relationship Id="rId5" Type="http://schemas.openxmlformats.org/officeDocument/2006/relationships/webSettings" Target="webSettings.xml"/><Relationship Id="rId15" Type="http://schemas.openxmlformats.org/officeDocument/2006/relationships/hyperlink" Target="http://www.ahpra.gov.au/News/2015-03-27-media-statement.aspx" TargetMode="External"/><Relationship Id="rId23" Type="http://schemas.microsoft.com/office/2007/relationships/stylesWithEffects" Target="stylesWithEffects.xml"/><Relationship Id="rId10" Type="http://schemas.openxmlformats.org/officeDocument/2006/relationships/hyperlink" Target="http://www.surveymonkey.com/s/AOAC_CAP_Surve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steopathiccouncil.org.au/accreditation.html" TargetMode="External"/><Relationship Id="rId14" Type="http://schemas.openxmlformats.org/officeDocument/2006/relationships/hyperlink" Target="http://www.ahpra.gov.au/Publications/Corporate-publications.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1E2A-AAB9-4AC6-A3A1-02FCCEBB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3329</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18 December 2014  meeting of the Osteopathy Board of Australia</vt:lpstr>
    </vt:vector>
  </TitlesOfParts>
  <Company>Johanna Villani Design</Company>
  <LinksUpToDate>false</LinksUpToDate>
  <CharactersWithSpaces>3881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- 23 April 2015</dc:title>
  <dc:subject>Communique</dc:subject>
  <dc:creator>Osteopathy Board</dc:creator>
  <cp:lastModifiedBy>nthorn</cp:lastModifiedBy>
  <cp:revision>2</cp:revision>
  <cp:lastPrinted>2012-02-10T00:45:00Z</cp:lastPrinted>
  <dcterms:created xsi:type="dcterms:W3CDTF">2015-05-04T23:04:00Z</dcterms:created>
  <dcterms:modified xsi:type="dcterms:W3CDTF">2015-05-04T23:04:00Z</dcterms:modified>
</cp:coreProperties>
</file>