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F51506" w:rsidP="008A56B3">
      <w:pPr>
        <w:pStyle w:val="AHPRADocumenttitle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05pt;margin-top:36.4pt;width:30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RUB4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"/>
        </w:pict>
      </w:r>
      <w:r w:rsidR="00984E15">
        <w:rPr>
          <w:noProof/>
          <w:lang w:val="en-US"/>
        </w:rPr>
        <w:t>Communiqué</w:t>
      </w:r>
    </w:p>
    <w:p w:rsidR="009138F9" w:rsidRDefault="009138F9" w:rsidP="000E29C2">
      <w:pPr>
        <w:spacing w:line="360" w:lineRule="auto"/>
      </w:pPr>
    </w:p>
    <w:p w:rsidR="00622247" w:rsidRDefault="00984E15" w:rsidP="00984E15">
      <w:pPr>
        <w:pStyle w:val="AHPRADocumentsubheading"/>
      </w:pPr>
      <w:r w:rsidRPr="00984E15">
        <w:t>18 December 2014 meeting of the Osteopathy Board of Australia</w:t>
      </w:r>
    </w:p>
    <w:p w:rsidR="00984E15" w:rsidRDefault="00984E15" w:rsidP="00984E15">
      <w:pPr>
        <w:pStyle w:val="AHPRAbody"/>
      </w:pPr>
      <w:r>
        <w:rPr>
          <w:rFonts w:cs="Arial"/>
          <w:color w:val="000000"/>
        </w:rPr>
        <w:t>The 64</w:t>
      </w:r>
      <w:r w:rsidRPr="0066320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  <w:vertAlign w:val="superscript"/>
        </w:rPr>
        <w:t xml:space="preserve"> </w:t>
      </w:r>
      <w:r w:rsidRPr="00DF1D2B">
        <w:rPr>
          <w:rFonts w:cs="Arial"/>
          <w:color w:val="000000"/>
        </w:rPr>
        <w:t xml:space="preserve">meeting of the Osteopathy Board of Australia </w:t>
      </w:r>
      <w:r>
        <w:rPr>
          <w:rFonts w:cs="Arial"/>
          <w:color w:val="000000"/>
        </w:rPr>
        <w:t>(the Board) was</w:t>
      </w:r>
      <w:r w:rsidRPr="00DF1D2B">
        <w:rPr>
          <w:rFonts w:cs="Arial"/>
          <w:color w:val="000000"/>
        </w:rPr>
        <w:t xml:space="preserve"> held</w:t>
      </w:r>
      <w:r>
        <w:rPr>
          <w:rFonts w:cs="Arial"/>
          <w:color w:val="000000"/>
        </w:rPr>
        <w:t xml:space="preserve"> on</w:t>
      </w:r>
      <w:r w:rsidRPr="00EE5AB8">
        <w:rPr>
          <w:lang w:val="en-GB"/>
        </w:rPr>
        <w:t xml:space="preserve"> </w:t>
      </w:r>
      <w:r>
        <w:rPr>
          <w:lang w:val="en-GB"/>
        </w:rPr>
        <w:t>18 December 2014 in Melbourne</w:t>
      </w:r>
      <w:r>
        <w:rPr>
          <w:rFonts w:cs="Arial"/>
        </w:rPr>
        <w:t xml:space="preserve">. </w:t>
      </w:r>
      <w:r w:rsidRPr="000E3140">
        <w:t>This communiqué highlights key discussions and considerations from the Board’s</w:t>
      </w:r>
      <w:r>
        <w:t xml:space="preserve"> meeting. The Board publishes</w:t>
      </w:r>
      <w:r w:rsidRPr="00F362BF">
        <w:t xml:space="preserve"> this c</w:t>
      </w:r>
      <w:bookmarkStart w:id="0" w:name="_GoBack"/>
      <w:bookmarkEnd w:id="0"/>
      <w:r w:rsidRPr="00F362BF">
        <w:t>ommuniqué on our website and email</w:t>
      </w:r>
      <w:r>
        <w:t>s</w:t>
      </w:r>
      <w:r w:rsidRPr="00F362BF">
        <w:t xml:space="preserve"> it to a broad range of stakeholders. </w:t>
      </w:r>
      <w:r w:rsidRPr="00D97E48">
        <w:rPr>
          <w:rFonts w:cs="Arial"/>
        </w:rPr>
        <w:t xml:space="preserve">At each meeting, the Board considers a wide range of issues, many of which are routine and are </w:t>
      </w:r>
      <w:r>
        <w:rPr>
          <w:rFonts w:cs="Arial"/>
        </w:rPr>
        <w:t>not included in this communiqué</w:t>
      </w:r>
      <w:r w:rsidRPr="00F362BF">
        <w:t>.</w:t>
      </w:r>
    </w:p>
    <w:p w:rsidR="00984E15" w:rsidRPr="00691D7E" w:rsidRDefault="00984E15" w:rsidP="00984E15">
      <w:pPr>
        <w:pStyle w:val="AHPRASubhead"/>
      </w:pPr>
      <w:r w:rsidRPr="00691D7E">
        <w:t xml:space="preserve">Australasian Osteopathic Accreditation Council </w:t>
      </w:r>
    </w:p>
    <w:p w:rsidR="00984E15" w:rsidRPr="008C6EBA" w:rsidRDefault="00984E15" w:rsidP="00984E15">
      <w:pPr>
        <w:pStyle w:val="AHPRAbody"/>
      </w:pPr>
      <w:r>
        <w:t>The Board met with the Project Manager/Director and Executive Officer of the accreditation council, the Australasian Osteopathic Accreditation Council (AOAC) to discuss the AOAC’s projects in 2015 to consult on and review</w:t>
      </w:r>
      <w:r>
        <w:rPr>
          <w:rFonts w:eastAsia="Times New Roman"/>
        </w:rPr>
        <w:t xml:space="preserve"> the current</w:t>
      </w:r>
      <w:r w:rsidRPr="008C6EBA">
        <w:t>:</w:t>
      </w:r>
    </w:p>
    <w:p w:rsidR="00984E15" w:rsidRPr="008C6EBA" w:rsidRDefault="00984E15" w:rsidP="00984E15">
      <w:pPr>
        <w:numPr>
          <w:ilvl w:val="0"/>
          <w:numId w:val="44"/>
        </w:numPr>
        <w:spacing w:before="100" w:beforeAutospacing="1" w:after="100" w:afterAutospacing="1"/>
        <w:rPr>
          <w:szCs w:val="20"/>
        </w:rPr>
      </w:pPr>
      <w:r w:rsidRPr="008C6EBA">
        <w:rPr>
          <w:i/>
          <w:iCs/>
          <w:szCs w:val="20"/>
        </w:rPr>
        <w:t xml:space="preserve">Capabilities for Osteopathic </w:t>
      </w:r>
      <w:r>
        <w:rPr>
          <w:i/>
          <w:iCs/>
          <w:szCs w:val="20"/>
        </w:rPr>
        <w:t>Practice</w:t>
      </w:r>
      <w:r>
        <w:rPr>
          <w:iCs/>
          <w:szCs w:val="20"/>
        </w:rPr>
        <w:t>, and</w:t>
      </w:r>
    </w:p>
    <w:p w:rsidR="00984E15" w:rsidRPr="008C6EBA" w:rsidRDefault="00984E15" w:rsidP="00984E15">
      <w:pPr>
        <w:numPr>
          <w:ilvl w:val="0"/>
          <w:numId w:val="44"/>
        </w:numPr>
        <w:spacing w:before="100" w:beforeAutospacing="1" w:after="100" w:afterAutospacing="1"/>
        <w:rPr>
          <w:szCs w:val="20"/>
        </w:rPr>
      </w:pPr>
      <w:r w:rsidRPr="008C6EBA">
        <w:rPr>
          <w:i/>
          <w:iCs/>
          <w:szCs w:val="20"/>
        </w:rPr>
        <w:t>Accreditation Standards for Osteopathic Programs of Study</w:t>
      </w:r>
      <w:r>
        <w:rPr>
          <w:i/>
          <w:iCs/>
          <w:szCs w:val="20"/>
        </w:rPr>
        <w:t>.</w:t>
      </w:r>
    </w:p>
    <w:p w:rsidR="00984E15" w:rsidRPr="008C6EBA" w:rsidRDefault="00984E15" w:rsidP="00984E15">
      <w:pPr>
        <w:pStyle w:val="AHPRAbody"/>
      </w:pPr>
      <w:r>
        <w:t xml:space="preserve">The </w:t>
      </w:r>
      <w:r>
        <w:rPr>
          <w:rFonts w:eastAsia="Times New Roman"/>
        </w:rPr>
        <w:t xml:space="preserve">AOAC </w:t>
      </w:r>
      <w:r w:rsidR="00A91ED9">
        <w:rPr>
          <w:rFonts w:eastAsia="Times New Roman"/>
        </w:rPr>
        <w:t xml:space="preserve"> now undertakes</w:t>
      </w:r>
      <w:r>
        <w:rPr>
          <w:rFonts w:eastAsia="Times New Roman"/>
        </w:rPr>
        <w:t xml:space="preserve"> competency assessments</w:t>
      </w:r>
      <w:r>
        <w:t xml:space="preserve"> for osteopaths who have been previously registered in Australia, but who have been away from practice for a significant time. The Board refers these people to the AOAC after considering each application on a </w:t>
      </w:r>
      <w:r w:rsidR="00A76BFC">
        <w:t>case-by-case</w:t>
      </w:r>
      <w:r>
        <w:t xml:space="preserve"> basis. </w:t>
      </w:r>
    </w:p>
    <w:p w:rsidR="00984E15" w:rsidRPr="001D6D83" w:rsidRDefault="00984E15" w:rsidP="00984E15">
      <w:pPr>
        <w:pStyle w:val="AHPRASubhead"/>
      </w:pPr>
      <w:r w:rsidRPr="001D6D83">
        <w:t xml:space="preserve">Follow @AHPRA on Twitter </w:t>
      </w:r>
    </w:p>
    <w:p w:rsidR="00984E15" w:rsidRPr="001D6D83" w:rsidRDefault="00984E15" w:rsidP="00984E15">
      <w:pPr>
        <w:pStyle w:val="AHPRAbody"/>
      </w:pPr>
      <w:r>
        <w:t xml:space="preserve">AHPRA uses </w:t>
      </w:r>
      <w:hyperlink r:id="rId8" w:history="1">
        <w:r w:rsidRPr="00B47BC0">
          <w:rPr>
            <w:rStyle w:val="Hyperlink"/>
          </w:rPr>
          <w:t>Twitter</w:t>
        </w:r>
      </w:hyperlink>
      <w:r w:rsidRPr="001D6D83">
        <w:t xml:space="preserve"> to </w:t>
      </w:r>
      <w:r>
        <w:t xml:space="preserve">encourage greater discussion about </w:t>
      </w:r>
      <w:r w:rsidRPr="001D6D83">
        <w:t>National Board consultations</w:t>
      </w:r>
      <w:r>
        <w:t xml:space="preserve"> and to host regular</w:t>
      </w:r>
      <w:r w:rsidRPr="001D6D83">
        <w:t xml:space="preserve"> </w:t>
      </w:r>
      <w:r>
        <w:t xml:space="preserve">Twitter </w:t>
      </w:r>
      <w:r w:rsidRPr="001D6D83">
        <w:t xml:space="preserve">chats </w:t>
      </w:r>
      <w:r>
        <w:t>on</w:t>
      </w:r>
      <w:r w:rsidRPr="001D6D83">
        <w:t xml:space="preserve"> important topics</w:t>
      </w:r>
      <w:r>
        <w:t>.</w:t>
      </w:r>
      <w:r w:rsidRPr="001D6D83">
        <w:t xml:space="preserve"> </w:t>
      </w:r>
    </w:p>
    <w:p w:rsidR="00984E15" w:rsidRPr="00BF061B" w:rsidRDefault="00984E15" w:rsidP="00984E15">
      <w:pPr>
        <w:pStyle w:val="AHPRASubhead"/>
      </w:pPr>
      <w:r>
        <w:t>Have you renewed your registration?</w:t>
      </w:r>
    </w:p>
    <w:p w:rsidR="00984E15" w:rsidRPr="00261E28" w:rsidRDefault="00984E15" w:rsidP="00984E15">
      <w:pPr>
        <w:pStyle w:val="AHPRAbody"/>
      </w:pPr>
      <w:r>
        <w:t>If</w:t>
      </w:r>
      <w:r w:rsidRPr="00261E28">
        <w:t xml:space="preserve"> you </w:t>
      </w:r>
      <w:r>
        <w:t>have</w:t>
      </w:r>
      <w:r w:rsidRPr="00261E28">
        <w:t xml:space="preserve"> not appl</w:t>
      </w:r>
      <w:r>
        <w:t>ied</w:t>
      </w:r>
      <w:r w:rsidRPr="00261E28">
        <w:t xml:space="preserve"> to renew your registration within one month of </w:t>
      </w:r>
      <w:r w:rsidR="00EA248E">
        <w:t>its</w:t>
      </w:r>
      <w:r w:rsidRPr="00261E28">
        <w:t xml:space="preserve"> expiry date</w:t>
      </w:r>
      <w:r w:rsidR="00EA248E">
        <w:t>,</w:t>
      </w:r>
      <w:r>
        <w:t xml:space="preserve"> </w:t>
      </w:r>
      <w:r w:rsidRPr="00261E28">
        <w:t xml:space="preserve">your registration </w:t>
      </w:r>
      <w:r w:rsidR="00EA248E">
        <w:t xml:space="preserve">will have </w:t>
      </w:r>
      <w:r w:rsidRPr="00261E28">
        <w:t>lapse</w:t>
      </w:r>
      <w:r>
        <w:t>d</w:t>
      </w:r>
      <w:r w:rsidRPr="00261E28">
        <w:t xml:space="preserve"> </w:t>
      </w:r>
      <w:r>
        <w:t xml:space="preserve">in early January 2015 </w:t>
      </w:r>
      <w:r w:rsidRPr="00261E28">
        <w:t xml:space="preserve">and you will not be able to practise in Australia until a new application for registration is approved and the national register </w:t>
      </w:r>
      <w:r w:rsidR="00EA248E">
        <w:t xml:space="preserve">is </w:t>
      </w:r>
      <w:r w:rsidRPr="00261E28">
        <w:t>updated.</w:t>
      </w:r>
    </w:p>
    <w:p w:rsidR="00984E15" w:rsidRPr="0051756D" w:rsidRDefault="00984E15" w:rsidP="00984E15">
      <w:pPr>
        <w:pStyle w:val="AHPRASubhead"/>
      </w:pPr>
      <w:r w:rsidRPr="009474F9">
        <w:t>Updating contact details</w:t>
      </w:r>
    </w:p>
    <w:p w:rsidR="00984E15" w:rsidRPr="00BA70BF" w:rsidRDefault="00984E15" w:rsidP="00984E15">
      <w:pPr>
        <w:pStyle w:val="AHPRAbody"/>
      </w:pPr>
      <w:r w:rsidRPr="00BA70BF">
        <w:t xml:space="preserve">To check </w:t>
      </w:r>
      <w:r>
        <w:t xml:space="preserve">or update </w:t>
      </w:r>
      <w:r w:rsidRPr="00BA70BF">
        <w:t xml:space="preserve">your contact details, go to the </w:t>
      </w:r>
      <w:hyperlink r:id="rId9" w:history="1">
        <w:r w:rsidRPr="00B47BC0">
          <w:rPr>
            <w:rStyle w:val="Hyperlink"/>
          </w:rPr>
          <w:t>Your Account</w:t>
        </w:r>
      </w:hyperlink>
      <w:r w:rsidRPr="00BA70BF">
        <w:t xml:space="preserve"> link</w:t>
      </w:r>
      <w:r>
        <w:t xml:space="preserve"> on the AHPRA homepage</w:t>
      </w:r>
      <w:r w:rsidRPr="00BA70BF">
        <w:t xml:space="preserve">, </w:t>
      </w:r>
      <w:r>
        <w:t>and enter your User ID, date of birth and password. Please note that y</w:t>
      </w:r>
      <w:r w:rsidRPr="00BA70BF">
        <w:t xml:space="preserve">our </w:t>
      </w:r>
      <w:r>
        <w:t>U</w:t>
      </w:r>
      <w:r w:rsidRPr="00BA70BF">
        <w:t xml:space="preserve">ser ID is not your registration number. </w:t>
      </w:r>
      <w:r>
        <w:t xml:space="preserve">If you cannot remember your user ID or password, contact us </w:t>
      </w:r>
      <w:hyperlink r:id="rId10" w:history="1">
        <w:r w:rsidRPr="00B47BC0">
          <w:rPr>
            <w:rStyle w:val="Hyperlink"/>
          </w:rPr>
          <w:t>online</w:t>
        </w:r>
      </w:hyperlink>
      <w:r>
        <w:t xml:space="preserve"> or call </w:t>
      </w:r>
      <w:r w:rsidRPr="00BA70BF">
        <w:t>1300 419 495.</w:t>
      </w:r>
    </w:p>
    <w:p w:rsidR="00984E15" w:rsidRPr="00984E15" w:rsidRDefault="00984E15" w:rsidP="00984E15">
      <w:pPr>
        <w:pStyle w:val="AHPRASubhead"/>
      </w:pPr>
      <w:r w:rsidRPr="00984E15">
        <w:t>Keeping in touch with the Board</w:t>
      </w:r>
    </w:p>
    <w:p w:rsidR="00984E15" w:rsidRDefault="00984E15" w:rsidP="00984E15">
      <w:pPr>
        <w:pStyle w:val="AHPRAbody"/>
      </w:pPr>
      <w:r>
        <w:t xml:space="preserve">The Board publishes a range of information about registration and the Board’s expectations of practitioners on its website at </w:t>
      </w:r>
      <w:hyperlink r:id="rId11" w:history="1">
        <w:r w:rsidRPr="00660816">
          <w:rPr>
            <w:rStyle w:val="Hyperlink"/>
            <w:rFonts w:cs="Arial"/>
            <w:szCs w:val="20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B104B9">
        <w:rPr>
          <w:u w:val="double"/>
        </w:rPr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984E15" w:rsidRPr="00984E15" w:rsidRDefault="00984E15" w:rsidP="00984E15">
      <w:r w:rsidRPr="00AE3701">
        <w:rPr>
          <w:szCs w:val="20"/>
          <w:lang w:val="en-US"/>
        </w:rPr>
        <w:t xml:space="preserve">Dr </w:t>
      </w:r>
      <w:r>
        <w:rPr>
          <w:szCs w:val="20"/>
          <w:lang w:val="en-US"/>
        </w:rPr>
        <w:t>Nikole Grbin (Osteopath)</w:t>
      </w:r>
      <w:r>
        <w:rPr>
          <w:szCs w:val="20"/>
          <w:lang w:val="en-US"/>
        </w:rPr>
        <w:br/>
      </w:r>
      <w:r w:rsidRPr="007D493A">
        <w:rPr>
          <w:color w:val="0070C0"/>
          <w:szCs w:val="20"/>
          <w:lang w:val="en-US"/>
        </w:rPr>
        <w:t>Chair</w:t>
      </w:r>
      <w:r>
        <w:rPr>
          <w:color w:val="0070C0"/>
          <w:szCs w:val="20"/>
          <w:lang w:val="en-US"/>
        </w:rPr>
        <w:br/>
      </w:r>
      <w:r>
        <w:rPr>
          <w:szCs w:val="20"/>
          <w:lang w:val="en-US"/>
        </w:rPr>
        <w:t>15 Janu</w:t>
      </w:r>
      <w:r>
        <w:rPr>
          <w:szCs w:val="20"/>
        </w:rPr>
        <w:t>ary 2015</w:t>
      </w:r>
    </w:p>
    <w:sectPr w:rsidR="00984E15" w:rsidRPr="00984E15" w:rsidSect="004B438E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8E" w:rsidRDefault="00EA248E" w:rsidP="008A56B3">
      <w:r>
        <w:separator/>
      </w:r>
    </w:p>
    <w:p w:rsidR="00EA248E" w:rsidRDefault="00EA248E" w:rsidP="008A56B3"/>
  </w:endnote>
  <w:endnote w:type="continuationSeparator" w:id="0">
    <w:p w:rsidR="00EA248E" w:rsidRDefault="00EA248E" w:rsidP="008A56B3">
      <w:r>
        <w:continuationSeparator/>
      </w:r>
    </w:p>
    <w:p w:rsidR="00EA248E" w:rsidRDefault="00EA248E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E" w:rsidRDefault="00B104B9" w:rsidP="008A56B3">
    <w:pPr>
      <w:pStyle w:val="AHPRAfootnote"/>
    </w:pPr>
    <w:r>
      <w:fldChar w:fldCharType="begin"/>
    </w:r>
    <w:r w:rsidR="00EA248E">
      <w:instrText xml:space="preserve">PAGE  </w:instrText>
    </w:r>
    <w:r>
      <w:fldChar w:fldCharType="end"/>
    </w:r>
  </w:p>
  <w:p w:rsidR="00EA248E" w:rsidRDefault="00EA248E" w:rsidP="008A56B3">
    <w:pPr>
      <w:pStyle w:val="AHPRAfootnote"/>
    </w:pPr>
  </w:p>
  <w:p w:rsidR="00EA248E" w:rsidRDefault="00EA248E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E" w:rsidRPr="000E7E28" w:rsidRDefault="00F51506" w:rsidP="007840D7">
    <w:pPr>
      <w:pStyle w:val="AHPRApagenumber"/>
      <w:tabs>
        <w:tab w:val="center" w:pos="4536"/>
        <w:tab w:val="right" w:pos="9356"/>
      </w:tabs>
      <w:ind w:right="-233"/>
      <w:jc w:val="left"/>
    </w:pPr>
    <w:r>
      <w:fldChar w:fldCharType="begin"/>
    </w:r>
    <w:r>
      <w:instrText xml:space="preserve"> STYLEREF "AHPRA Document title" \* MERGEFORMAT </w:instrText>
    </w:r>
    <w:r>
      <w:fldChar w:fldCharType="separate"/>
    </w:r>
    <w:r w:rsidR="00EA248E">
      <w:rPr>
        <w:noProof/>
      </w:rPr>
      <w:t>Main title</w:t>
    </w:r>
    <w:r>
      <w:rPr>
        <w:noProof/>
      </w:rPr>
      <w:fldChar w:fldCharType="end"/>
    </w:r>
    <w:r w:rsidR="00EA248E">
      <w:t xml:space="preserve"> / </w:t>
    </w:r>
    <w:r w:rsidR="00B104B9">
      <w:fldChar w:fldCharType="begin"/>
    </w:r>
    <w:r w:rsidR="00EA248E">
      <w:instrText xml:space="preserve"> DATE \@ "d MMMM y" \* MERGEFORMAT </w:instrText>
    </w:r>
    <w:r w:rsidR="00B104B9">
      <w:fldChar w:fldCharType="separate"/>
    </w:r>
    <w:r>
      <w:rPr>
        <w:noProof/>
      </w:rPr>
      <w:t>15 January 15</w:t>
    </w:r>
    <w:r w:rsidR="00B104B9">
      <w:fldChar w:fldCharType="end"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EA248E">
          <w:tab/>
        </w:r>
        <w:r w:rsidR="00EA248E">
          <w:tab/>
        </w:r>
        <w:r w:rsidR="00EA248E" w:rsidRPr="000E7E28">
          <w:t xml:space="preserve">Page </w:t>
        </w:r>
        <w:r w:rsidR="00B104B9">
          <w:fldChar w:fldCharType="begin"/>
        </w:r>
        <w:r w:rsidR="00EA248E">
          <w:instrText xml:space="preserve"> PAGE </w:instrText>
        </w:r>
        <w:r w:rsidR="00B104B9">
          <w:fldChar w:fldCharType="separate"/>
        </w:r>
        <w:r w:rsidR="00EA248E">
          <w:rPr>
            <w:noProof/>
          </w:rPr>
          <w:t>2</w:t>
        </w:r>
        <w:r w:rsidR="00B104B9">
          <w:rPr>
            <w:noProof/>
          </w:rPr>
          <w:fldChar w:fldCharType="end"/>
        </w:r>
        <w:r w:rsidR="00EA248E" w:rsidRPr="000E7E28">
          <w:t xml:space="preserve"> of </w:t>
        </w:r>
        <w:r w:rsidR="00B104B9">
          <w:fldChar w:fldCharType="begin"/>
        </w:r>
        <w:r w:rsidR="00EA248E">
          <w:instrText xml:space="preserve"> NUMPAGES  </w:instrText>
        </w:r>
        <w:r w:rsidR="00B104B9">
          <w:fldChar w:fldCharType="separate"/>
        </w:r>
        <w:r w:rsidR="00EA248E">
          <w:rPr>
            <w:noProof/>
          </w:rPr>
          <w:t>1</w:t>
        </w:r>
        <w:r w:rsidR="00B104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8E" w:rsidRDefault="00EA248E" w:rsidP="008A56B3">
      <w:r>
        <w:separator/>
      </w:r>
    </w:p>
  </w:footnote>
  <w:footnote w:type="continuationSeparator" w:id="0">
    <w:p w:rsidR="00EA248E" w:rsidRDefault="00EA248E" w:rsidP="008A56B3">
      <w:r>
        <w:continuationSeparator/>
      </w:r>
    </w:p>
    <w:p w:rsidR="00EA248E" w:rsidRDefault="00EA248E" w:rsidP="008A56B3"/>
  </w:footnote>
  <w:footnote w:type="continuationNotice" w:id="1">
    <w:p w:rsidR="00EA248E" w:rsidRDefault="00EA248E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E" w:rsidRPr="00315933" w:rsidRDefault="00EA248E" w:rsidP="008A56B3"/>
  <w:p w:rsidR="00EA248E" w:rsidRDefault="00EA248E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E" w:rsidRDefault="00EA248E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12700" b="0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48E" w:rsidRDefault="00EA248E" w:rsidP="008A56B3"/>
  <w:p w:rsidR="00EA248E" w:rsidRDefault="00EA248E" w:rsidP="008A56B3"/>
  <w:p w:rsidR="00EA248E" w:rsidRDefault="00EA248E" w:rsidP="008A56B3"/>
  <w:p w:rsidR="00EA248E" w:rsidRDefault="00EA248E" w:rsidP="008A56B3"/>
  <w:p w:rsidR="00EA248E" w:rsidRDefault="00EA248E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89C"/>
    <w:multiLevelType w:val="hybridMultilevel"/>
    <w:tmpl w:val="56B4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80D"/>
    <w:multiLevelType w:val="hybridMultilevel"/>
    <w:tmpl w:val="13A4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62734"/>
    <w:multiLevelType w:val="hybridMultilevel"/>
    <w:tmpl w:val="810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7D6"/>
    <w:multiLevelType w:val="multilevel"/>
    <w:tmpl w:val="C4183F12"/>
    <w:numStyleLink w:val="AHPRANumberedlist"/>
  </w:abstractNum>
  <w:abstractNum w:abstractNumId="4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>
    <w:nsid w:val="0D193D64"/>
    <w:multiLevelType w:val="hybridMultilevel"/>
    <w:tmpl w:val="A888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3EC6"/>
    <w:multiLevelType w:val="hybridMultilevel"/>
    <w:tmpl w:val="CC7A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42B8"/>
    <w:multiLevelType w:val="hybridMultilevel"/>
    <w:tmpl w:val="BCA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D19FF"/>
    <w:multiLevelType w:val="multilevel"/>
    <w:tmpl w:val="BE20683A"/>
    <w:numStyleLink w:val="AHPRANumberedheadinglist"/>
  </w:abstractNum>
  <w:abstractNum w:abstractNumId="11">
    <w:nsid w:val="15714E62"/>
    <w:multiLevelType w:val="hybridMultilevel"/>
    <w:tmpl w:val="B0B0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D84F9D"/>
    <w:multiLevelType w:val="hybridMultilevel"/>
    <w:tmpl w:val="EDA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73E2C"/>
    <w:multiLevelType w:val="hybridMultilevel"/>
    <w:tmpl w:val="DBD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53EC"/>
    <w:multiLevelType w:val="hybridMultilevel"/>
    <w:tmpl w:val="F7D0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2C41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416A0"/>
    <w:multiLevelType w:val="hybridMultilevel"/>
    <w:tmpl w:val="6652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3D5E99"/>
    <w:multiLevelType w:val="hybridMultilevel"/>
    <w:tmpl w:val="C5B8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54A25"/>
    <w:multiLevelType w:val="hybridMultilevel"/>
    <w:tmpl w:val="795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2578D"/>
    <w:multiLevelType w:val="multilevel"/>
    <w:tmpl w:val="BE20683A"/>
    <w:numStyleLink w:val="AHPRANumberedheadinglist"/>
  </w:abstractNum>
  <w:abstractNum w:abstractNumId="19">
    <w:nsid w:val="286A1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1F4DC4"/>
    <w:multiLevelType w:val="hybridMultilevel"/>
    <w:tmpl w:val="3B1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A74E5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3B585523"/>
    <w:multiLevelType w:val="hybridMultilevel"/>
    <w:tmpl w:val="E292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B3714"/>
    <w:multiLevelType w:val="multilevel"/>
    <w:tmpl w:val="C4183F12"/>
    <w:numStyleLink w:val="AHPRANumberedlist"/>
  </w:abstractNum>
  <w:abstractNum w:abstractNumId="25">
    <w:nsid w:val="3E963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224143C"/>
    <w:multiLevelType w:val="hybridMultilevel"/>
    <w:tmpl w:val="CCDA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252EB"/>
    <w:multiLevelType w:val="multilevel"/>
    <w:tmpl w:val="A0B8453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A3ABE"/>
    <w:multiLevelType w:val="hybridMultilevel"/>
    <w:tmpl w:val="B30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37982"/>
    <w:multiLevelType w:val="hybridMultilevel"/>
    <w:tmpl w:val="75FC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4433A"/>
    <w:multiLevelType w:val="multilevel"/>
    <w:tmpl w:val="C4183F12"/>
    <w:numStyleLink w:val="AHPRANumberedlist"/>
  </w:abstractNum>
  <w:abstractNum w:abstractNumId="32">
    <w:nsid w:val="518E0391"/>
    <w:multiLevelType w:val="hybridMultilevel"/>
    <w:tmpl w:val="F92A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0840D8"/>
    <w:multiLevelType w:val="hybridMultilevel"/>
    <w:tmpl w:val="BD68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B7666"/>
    <w:multiLevelType w:val="hybridMultilevel"/>
    <w:tmpl w:val="F18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B5D93"/>
    <w:multiLevelType w:val="multilevel"/>
    <w:tmpl w:val="323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156F1"/>
    <w:multiLevelType w:val="hybridMultilevel"/>
    <w:tmpl w:val="6C8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73C72"/>
    <w:multiLevelType w:val="hybridMultilevel"/>
    <w:tmpl w:val="2346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C55E0"/>
    <w:multiLevelType w:val="hybridMultilevel"/>
    <w:tmpl w:val="C96835DA"/>
    <w:lvl w:ilvl="0" w:tplc="49187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E154B0"/>
    <w:multiLevelType w:val="multilevel"/>
    <w:tmpl w:val="C4183F12"/>
    <w:numStyleLink w:val="AHPRANumberedlist"/>
  </w:abstractNum>
  <w:abstractNum w:abstractNumId="41">
    <w:nsid w:val="7AE57532"/>
    <w:multiLevelType w:val="hybridMultilevel"/>
    <w:tmpl w:val="8B6C1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2610BB"/>
    <w:multiLevelType w:val="hybridMultilevel"/>
    <w:tmpl w:val="FF68D3AC"/>
    <w:lvl w:ilvl="0" w:tplc="3B3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31660"/>
    <w:multiLevelType w:val="multilevel"/>
    <w:tmpl w:val="C4183F12"/>
    <w:numStyleLink w:val="AHPRANumberedlist"/>
  </w:abstractNum>
  <w:num w:numId="1">
    <w:abstractNumId w:val="39"/>
  </w:num>
  <w:num w:numId="2">
    <w:abstractNumId w:val="28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3"/>
  </w:num>
  <w:num w:numId="8">
    <w:abstractNumId w:val="21"/>
  </w:num>
  <w:num w:numId="9">
    <w:abstractNumId w:val="42"/>
  </w:num>
  <w:num w:numId="10">
    <w:abstractNumId w:val="31"/>
  </w:num>
  <w:num w:numId="11">
    <w:abstractNumId w:val="5"/>
  </w:num>
  <w:num w:numId="12">
    <w:abstractNumId w:val="40"/>
  </w:num>
  <w:num w:numId="13">
    <w:abstractNumId w:val="43"/>
  </w:num>
  <w:num w:numId="14">
    <w:abstractNumId w:val="26"/>
  </w:num>
  <w:num w:numId="15">
    <w:abstractNumId w:val="34"/>
  </w:num>
  <w:num w:numId="16">
    <w:abstractNumId w:val="15"/>
  </w:num>
  <w:num w:numId="17">
    <w:abstractNumId w:val="2"/>
  </w:num>
  <w:num w:numId="18">
    <w:abstractNumId w:val="12"/>
  </w:num>
  <w:num w:numId="19">
    <w:abstractNumId w:val="14"/>
  </w:num>
  <w:num w:numId="20">
    <w:abstractNumId w:val="29"/>
  </w:num>
  <w:num w:numId="21">
    <w:abstractNumId w:val="7"/>
  </w:num>
  <w:num w:numId="22">
    <w:abstractNumId w:val="30"/>
  </w:num>
  <w:num w:numId="23">
    <w:abstractNumId w:val="33"/>
  </w:num>
  <w:num w:numId="24">
    <w:abstractNumId w:val="11"/>
  </w:num>
  <w:num w:numId="25">
    <w:abstractNumId w:val="41"/>
  </w:num>
  <w:num w:numId="26">
    <w:abstractNumId w:val="0"/>
  </w:num>
  <w:num w:numId="27">
    <w:abstractNumId w:val="32"/>
  </w:num>
  <w:num w:numId="28">
    <w:abstractNumId w:val="38"/>
  </w:num>
  <w:num w:numId="29">
    <w:abstractNumId w:val="13"/>
  </w:num>
  <w:num w:numId="30">
    <w:abstractNumId w:val="9"/>
  </w:num>
  <w:num w:numId="31">
    <w:abstractNumId w:val="8"/>
  </w:num>
  <w:num w:numId="32">
    <w:abstractNumId w:val="36"/>
  </w:num>
  <w:num w:numId="33">
    <w:abstractNumId w:val="16"/>
  </w:num>
  <w:num w:numId="34">
    <w:abstractNumId w:val="20"/>
  </w:num>
  <w:num w:numId="35">
    <w:abstractNumId w:val="1"/>
  </w:num>
  <w:num w:numId="36">
    <w:abstractNumId w:val="17"/>
  </w:num>
  <w:num w:numId="37">
    <w:abstractNumId w:val="23"/>
  </w:num>
  <w:num w:numId="38">
    <w:abstractNumId w:val="25"/>
  </w:num>
  <w:num w:numId="39">
    <w:abstractNumId w:val="22"/>
  </w:num>
  <w:num w:numId="40">
    <w:abstractNumId w:val="27"/>
  </w:num>
  <w:num w:numId="41">
    <w:abstractNumId w:val="19"/>
  </w:num>
  <w:num w:numId="42">
    <w:abstractNumId w:val="24"/>
  </w:num>
  <w:num w:numId="4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922"/>
    <w:rsid w:val="00023904"/>
    <w:rsid w:val="000334D7"/>
    <w:rsid w:val="00061983"/>
    <w:rsid w:val="00071439"/>
    <w:rsid w:val="000945FB"/>
    <w:rsid w:val="000A6BF7"/>
    <w:rsid w:val="000E29C2"/>
    <w:rsid w:val="000E6D3A"/>
    <w:rsid w:val="000E7E28"/>
    <w:rsid w:val="000F5D90"/>
    <w:rsid w:val="0010139F"/>
    <w:rsid w:val="00144DEF"/>
    <w:rsid w:val="001506FE"/>
    <w:rsid w:val="00196F14"/>
    <w:rsid w:val="001C425C"/>
    <w:rsid w:val="001D01AA"/>
    <w:rsid w:val="001E1E31"/>
    <w:rsid w:val="001E2849"/>
    <w:rsid w:val="001E4A94"/>
    <w:rsid w:val="001E5621"/>
    <w:rsid w:val="00220A3B"/>
    <w:rsid w:val="00224708"/>
    <w:rsid w:val="0022736D"/>
    <w:rsid w:val="0028013F"/>
    <w:rsid w:val="00295B44"/>
    <w:rsid w:val="002B2D48"/>
    <w:rsid w:val="002C08FB"/>
    <w:rsid w:val="002C34EA"/>
    <w:rsid w:val="00301BC0"/>
    <w:rsid w:val="00303BE1"/>
    <w:rsid w:val="00305AFC"/>
    <w:rsid w:val="003354E4"/>
    <w:rsid w:val="00393516"/>
    <w:rsid w:val="003D0B3C"/>
    <w:rsid w:val="003D6DBD"/>
    <w:rsid w:val="003E00B5"/>
    <w:rsid w:val="003E3268"/>
    <w:rsid w:val="003E6BB2"/>
    <w:rsid w:val="003F2F06"/>
    <w:rsid w:val="00405C0A"/>
    <w:rsid w:val="00414F2C"/>
    <w:rsid w:val="00450B34"/>
    <w:rsid w:val="004606A7"/>
    <w:rsid w:val="00462F0F"/>
    <w:rsid w:val="004A5E5D"/>
    <w:rsid w:val="004B438E"/>
    <w:rsid w:val="004B747B"/>
    <w:rsid w:val="004D7537"/>
    <w:rsid w:val="004F5C05"/>
    <w:rsid w:val="00516EF2"/>
    <w:rsid w:val="00530BFF"/>
    <w:rsid w:val="0053749F"/>
    <w:rsid w:val="00546B56"/>
    <w:rsid w:val="005518A4"/>
    <w:rsid w:val="00553A4C"/>
    <w:rsid w:val="00554335"/>
    <w:rsid w:val="005565CE"/>
    <w:rsid w:val="00565BBC"/>
    <w:rsid w:val="005708AE"/>
    <w:rsid w:val="005826C0"/>
    <w:rsid w:val="00586F30"/>
    <w:rsid w:val="005A0FA9"/>
    <w:rsid w:val="005C5932"/>
    <w:rsid w:val="005C6817"/>
    <w:rsid w:val="005E0245"/>
    <w:rsid w:val="00616043"/>
    <w:rsid w:val="00622247"/>
    <w:rsid w:val="00640B2C"/>
    <w:rsid w:val="00652069"/>
    <w:rsid w:val="00667CAD"/>
    <w:rsid w:val="00670F48"/>
    <w:rsid w:val="00672A98"/>
    <w:rsid w:val="00681D5E"/>
    <w:rsid w:val="006870F9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43DD2"/>
    <w:rsid w:val="0076115C"/>
    <w:rsid w:val="007664F3"/>
    <w:rsid w:val="007840D7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2A8D"/>
    <w:rsid w:val="008A4C3B"/>
    <w:rsid w:val="008A56B3"/>
    <w:rsid w:val="008B2AD7"/>
    <w:rsid w:val="008D6B7E"/>
    <w:rsid w:val="008D7845"/>
    <w:rsid w:val="009031EA"/>
    <w:rsid w:val="009138F9"/>
    <w:rsid w:val="00923B23"/>
    <w:rsid w:val="00937ED0"/>
    <w:rsid w:val="00952797"/>
    <w:rsid w:val="009777D3"/>
    <w:rsid w:val="00984E15"/>
    <w:rsid w:val="009859E6"/>
    <w:rsid w:val="009A0A5D"/>
    <w:rsid w:val="009A7957"/>
    <w:rsid w:val="009C6933"/>
    <w:rsid w:val="009E4D57"/>
    <w:rsid w:val="009F3F6B"/>
    <w:rsid w:val="00A04C7A"/>
    <w:rsid w:val="00A058E5"/>
    <w:rsid w:val="00A10C1A"/>
    <w:rsid w:val="00A10F51"/>
    <w:rsid w:val="00A2072E"/>
    <w:rsid w:val="00A237BB"/>
    <w:rsid w:val="00A44A9E"/>
    <w:rsid w:val="00A458ED"/>
    <w:rsid w:val="00A509AB"/>
    <w:rsid w:val="00A76BFC"/>
    <w:rsid w:val="00A82078"/>
    <w:rsid w:val="00A838C8"/>
    <w:rsid w:val="00A86D88"/>
    <w:rsid w:val="00A91C42"/>
    <w:rsid w:val="00A91ED9"/>
    <w:rsid w:val="00A9516B"/>
    <w:rsid w:val="00A9780A"/>
    <w:rsid w:val="00AA00AF"/>
    <w:rsid w:val="00AA2FC9"/>
    <w:rsid w:val="00AB283D"/>
    <w:rsid w:val="00AB3A62"/>
    <w:rsid w:val="00AD312E"/>
    <w:rsid w:val="00AE3EAF"/>
    <w:rsid w:val="00B024B0"/>
    <w:rsid w:val="00B104B9"/>
    <w:rsid w:val="00B14866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81B3A"/>
    <w:rsid w:val="00C85A14"/>
    <w:rsid w:val="00CB6C08"/>
    <w:rsid w:val="00CD0DCA"/>
    <w:rsid w:val="00CE5855"/>
    <w:rsid w:val="00D12F61"/>
    <w:rsid w:val="00D201C6"/>
    <w:rsid w:val="00D638E0"/>
    <w:rsid w:val="00D65016"/>
    <w:rsid w:val="00D716BA"/>
    <w:rsid w:val="00D8404D"/>
    <w:rsid w:val="00D87C12"/>
    <w:rsid w:val="00DB191A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A248E"/>
    <w:rsid w:val="00F13ED2"/>
    <w:rsid w:val="00F27ACB"/>
    <w:rsid w:val="00F3616F"/>
    <w:rsid w:val="00F51506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24CDA28-92DC-45C9-83F3-3A25971D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" w:unhideWhenUsed="1" w:qFormat="1"/>
    <w:lsdException w:name="Intense Emphasis" w:uiPriority="21" w:qFormat="1"/>
    <w:lsdException w:name="Subtle Reference" w:semiHidden="1" w:uiPriority="1" w:unhideWhenUsed="1" w:qFormat="1"/>
    <w:lsdException w:name="Intense Reference" w:semiHidden="1" w:uiPriority="1" w:unhideWhenUsed="1" w:qFormat="1"/>
    <w:lsdException w:name="Book Title" w:semiHidden="1" w:uiPriority="99" w:unhideWhenUsed="1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11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2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11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42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43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43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HPR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hpra.gov.au/About-AHPRA/Contact-Us/Make-an-Enquir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pra.gov.au/Login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FD0-882E-425B-8632-D24D9849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2553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December 2014  meeting of the Osteopathy Board of Australia</dc:title>
  <dc:subject>Communique</dc:subject>
  <dc:creator>Osteopathy Board</dc:creator>
  <cp:keywords>18 December 2014</cp:keywords>
  <cp:lastModifiedBy>Tara Johnson</cp:lastModifiedBy>
  <cp:revision>2</cp:revision>
  <cp:lastPrinted>2012-02-10T00:45:00Z</cp:lastPrinted>
  <dcterms:created xsi:type="dcterms:W3CDTF">2015-01-15T03:35:00Z</dcterms:created>
  <dcterms:modified xsi:type="dcterms:W3CDTF">2015-01-15T03:35:00Z</dcterms:modified>
</cp:coreProperties>
</file>