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CD3F82" w:rsidRDefault="00774C80" w:rsidP="00CD3F82">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29 August</w:t>
      </w:r>
      <w:r w:rsidR="00CD3F82">
        <w:rPr>
          <w:rFonts w:ascii="Arial" w:hAnsi="Arial" w:cs="Arial"/>
          <w:color w:val="7F7F7F" w:themeColor="text1" w:themeTint="80"/>
          <w:sz w:val="28"/>
          <w:szCs w:val="28"/>
        </w:rPr>
        <w:t xml:space="preserve"> 2014</w:t>
      </w:r>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p w:rsidR="00774C80" w:rsidRDefault="00CD3F82" w:rsidP="00774C80">
      <w:pPr>
        <w:pStyle w:val="AHPRAbody"/>
        <w:rPr>
          <w:lang w:val="en-GB"/>
        </w:rPr>
      </w:pPr>
      <w:r>
        <w:rPr>
          <w:rFonts w:cs="Arial"/>
          <w:color w:val="000000"/>
          <w:szCs w:val="20"/>
        </w:rPr>
        <w:t xml:space="preserve">The </w:t>
      </w:r>
      <w:r w:rsidR="00774C80">
        <w:rPr>
          <w:rFonts w:cs="Arial"/>
          <w:color w:val="000000"/>
          <w:szCs w:val="20"/>
        </w:rPr>
        <w:t>60</w:t>
      </w:r>
      <w:r w:rsidR="009D2454" w:rsidRPr="000E7D7D">
        <w:rPr>
          <w:rFonts w:cs="Arial"/>
          <w:color w:val="000000"/>
          <w:szCs w:val="20"/>
          <w:vertAlign w:val="superscript"/>
        </w:rPr>
        <w:t>th</w:t>
      </w:r>
      <w:r w:rsidR="009D2454">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774C80">
        <w:rPr>
          <w:lang w:val="en-GB"/>
        </w:rPr>
        <w:t>29 August in Melbourne</w:t>
      </w:r>
      <w:r w:rsidR="00774C80">
        <w:rPr>
          <w:rFonts w:cs="Arial"/>
          <w:szCs w:val="20"/>
        </w:rPr>
        <w:t xml:space="preserve">. </w:t>
      </w:r>
      <w:r w:rsidR="00774C80"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774C80" w:rsidRDefault="00774C80" w:rsidP="00774C80">
      <w:pPr>
        <w:pStyle w:val="AHPRASubheading"/>
      </w:pPr>
      <w:r>
        <w:t>National Registration and Accreditation Scheme 2014 combined meeting</w:t>
      </w:r>
    </w:p>
    <w:p w:rsidR="00774C80" w:rsidRDefault="00774C80" w:rsidP="00774C80">
      <w:pPr>
        <w:pStyle w:val="AHPRAbody"/>
      </w:pPr>
      <w:r>
        <w:t>The National Board meeting was held to coincide with the annual National R</w:t>
      </w:r>
      <w:r w:rsidRPr="00221475">
        <w:t>egistration a</w:t>
      </w:r>
      <w:r>
        <w:t xml:space="preserve">nd Accreditation Scheme combined meeting. </w:t>
      </w:r>
    </w:p>
    <w:p w:rsidR="00774C80" w:rsidRDefault="00774C80" w:rsidP="00774C80">
      <w:pPr>
        <w:pStyle w:val="AHPRAbody"/>
        <w:rPr>
          <w:rFonts w:cs="Arial"/>
          <w:szCs w:val="20"/>
        </w:rPr>
      </w:pPr>
      <w:r w:rsidRPr="00167A0F">
        <w:rPr>
          <w:rFonts w:cs="Arial"/>
          <w:szCs w:val="20"/>
        </w:rPr>
        <w:t xml:space="preserve">The meeting is held to encourage learning through sharing ideas, innovation and networking about the regulation of health professionals. The goal is to help us to </w:t>
      </w:r>
      <w:r>
        <w:rPr>
          <w:rFonts w:cs="Arial"/>
          <w:szCs w:val="20"/>
        </w:rPr>
        <w:t>increase our</w:t>
      </w:r>
      <w:r w:rsidRPr="00167A0F">
        <w:rPr>
          <w:rFonts w:cs="Arial"/>
          <w:szCs w:val="20"/>
        </w:rPr>
        <w:t xml:space="preserve"> understand</w:t>
      </w:r>
      <w:r>
        <w:rPr>
          <w:rFonts w:cs="Arial"/>
          <w:szCs w:val="20"/>
        </w:rPr>
        <w:t>ing</w:t>
      </w:r>
      <w:r w:rsidRPr="00167A0F">
        <w:rPr>
          <w:rFonts w:cs="Arial"/>
          <w:szCs w:val="20"/>
        </w:rPr>
        <w:t xml:space="preserve"> and respond to our wider regulatory and reform environment. The combined meeting was attended by members of all of the National Boards, NSW Councils’ representatives, the Agency Management Committee, AHPRA staff, government departments, accreditation agencies and regulatory authorities from New Zealand.</w:t>
      </w:r>
    </w:p>
    <w:p w:rsidR="001A6013" w:rsidRPr="009A2E74" w:rsidRDefault="009A2E74" w:rsidP="009A2E74">
      <w:pPr>
        <w:pStyle w:val="AHPRASubheadinglevel2"/>
        <w:rPr>
          <w:b w:val="0"/>
        </w:rPr>
      </w:pPr>
      <w:r>
        <w:rPr>
          <w:b w:val="0"/>
          <w:szCs w:val="20"/>
        </w:rPr>
        <w:t>On 29 August 2014, t</w:t>
      </w:r>
      <w:r w:rsidR="00795DD2" w:rsidRPr="00795DD2">
        <w:rPr>
          <w:b w:val="0"/>
          <w:szCs w:val="20"/>
        </w:rPr>
        <w:t xml:space="preserve">he Board </w:t>
      </w:r>
      <w:r>
        <w:rPr>
          <w:b w:val="0"/>
          <w:szCs w:val="20"/>
        </w:rPr>
        <w:t xml:space="preserve">took the opportunity to meet with </w:t>
      </w:r>
      <w:r w:rsidR="00795DD2" w:rsidRPr="00795DD2">
        <w:rPr>
          <w:b w:val="0"/>
          <w:szCs w:val="20"/>
        </w:rPr>
        <w:t xml:space="preserve">the Chair and Executive Officer of the </w:t>
      </w:r>
      <w:r w:rsidR="00795DD2">
        <w:rPr>
          <w:b w:val="0"/>
          <w:szCs w:val="20"/>
        </w:rPr>
        <w:t xml:space="preserve">Australasian </w:t>
      </w:r>
      <w:r w:rsidR="00795DD2" w:rsidRPr="00795DD2">
        <w:rPr>
          <w:b w:val="0"/>
          <w:szCs w:val="20"/>
        </w:rPr>
        <w:t>Osteopathic</w:t>
      </w:r>
      <w:r w:rsidR="00795DD2">
        <w:rPr>
          <w:b w:val="0"/>
          <w:szCs w:val="20"/>
        </w:rPr>
        <w:t xml:space="preserve"> Accreditation Council</w:t>
      </w:r>
      <w:r>
        <w:rPr>
          <w:b w:val="0"/>
          <w:szCs w:val="20"/>
        </w:rPr>
        <w:t xml:space="preserve"> </w:t>
      </w:r>
      <w:r w:rsidR="00914DD1">
        <w:rPr>
          <w:b w:val="0"/>
          <w:szCs w:val="20"/>
        </w:rPr>
        <w:t xml:space="preserve">(formerly the Australian and New Zealand Osteopathic Council) </w:t>
      </w:r>
      <w:r>
        <w:rPr>
          <w:b w:val="0"/>
          <w:szCs w:val="20"/>
        </w:rPr>
        <w:t xml:space="preserve">to discuss accreditation matters; </w:t>
      </w:r>
      <w:r w:rsidR="001A6013" w:rsidRPr="009A2E74">
        <w:rPr>
          <w:b w:val="0"/>
          <w:szCs w:val="20"/>
        </w:rPr>
        <w:t xml:space="preserve">and the </w:t>
      </w:r>
      <w:r w:rsidR="00774C80" w:rsidRPr="009A2E74">
        <w:rPr>
          <w:b w:val="0"/>
          <w:szCs w:val="20"/>
        </w:rPr>
        <w:t xml:space="preserve">Chair and </w:t>
      </w:r>
      <w:r>
        <w:rPr>
          <w:b w:val="0"/>
          <w:szCs w:val="20"/>
        </w:rPr>
        <w:t>Registrar</w:t>
      </w:r>
      <w:r w:rsidR="00774C80" w:rsidRPr="009A2E74">
        <w:rPr>
          <w:b w:val="0"/>
          <w:szCs w:val="20"/>
        </w:rPr>
        <w:t xml:space="preserve"> of the </w:t>
      </w:r>
      <w:r w:rsidR="001A6013" w:rsidRPr="009A2E74">
        <w:rPr>
          <w:b w:val="0"/>
          <w:szCs w:val="20"/>
        </w:rPr>
        <w:t>Osteopath</w:t>
      </w:r>
      <w:r w:rsidR="00795DD2" w:rsidRPr="009A2E74">
        <w:rPr>
          <w:b w:val="0"/>
          <w:szCs w:val="20"/>
        </w:rPr>
        <w:t>ic</w:t>
      </w:r>
      <w:r w:rsidR="001A6013" w:rsidRPr="009A2E74">
        <w:rPr>
          <w:b w:val="0"/>
          <w:szCs w:val="20"/>
        </w:rPr>
        <w:t xml:space="preserve"> Council of New </w:t>
      </w:r>
      <w:r w:rsidR="00774C80" w:rsidRPr="009A2E74">
        <w:rPr>
          <w:b w:val="0"/>
          <w:szCs w:val="20"/>
        </w:rPr>
        <w:t>Zealand</w:t>
      </w:r>
      <w:r w:rsidR="001A6013" w:rsidRPr="009A2E74">
        <w:rPr>
          <w:b w:val="0"/>
          <w:szCs w:val="20"/>
        </w:rPr>
        <w:t xml:space="preserve"> to discuss issues of mutual interest, including common regulatory functions</w:t>
      </w:r>
      <w:r w:rsidR="0021354D">
        <w:rPr>
          <w:b w:val="0"/>
          <w:szCs w:val="20"/>
        </w:rPr>
        <w:t>,</w:t>
      </w:r>
      <w:r w:rsidR="001A6013" w:rsidRPr="009A2E74">
        <w:rPr>
          <w:b w:val="0"/>
          <w:szCs w:val="20"/>
        </w:rPr>
        <w:t xml:space="preserve"> outcomes and </w:t>
      </w:r>
      <w:r w:rsidR="00774C80" w:rsidRPr="009A2E74">
        <w:rPr>
          <w:b w:val="0"/>
          <w:szCs w:val="20"/>
        </w:rPr>
        <w:t>pathways for overseas trained osteopaths</w:t>
      </w:r>
      <w:r w:rsidR="001A6013" w:rsidRPr="009A2E74">
        <w:rPr>
          <w:b w:val="0"/>
          <w:szCs w:val="20"/>
        </w:rPr>
        <w:t xml:space="preserve">. </w:t>
      </w:r>
    </w:p>
    <w:p w:rsidR="00F1194C" w:rsidRDefault="00F1194C" w:rsidP="00F1194C">
      <w:pPr>
        <w:pStyle w:val="AHPRASubheading"/>
        <w:tabs>
          <w:tab w:val="left" w:pos="5108"/>
        </w:tabs>
        <w:spacing w:before="240"/>
      </w:pPr>
      <w:r>
        <w:t xml:space="preserve">Health Ministers announce Board appointments </w:t>
      </w:r>
    </w:p>
    <w:p w:rsidR="00F1194C" w:rsidRDefault="00F1194C" w:rsidP="00F1194C">
      <w:pPr>
        <w:pStyle w:val="AHPRASubheading"/>
        <w:rPr>
          <w:rFonts w:cs="Arial"/>
          <w:b w:val="0"/>
          <w:color w:val="000000" w:themeColor="text1"/>
          <w:szCs w:val="20"/>
        </w:rPr>
      </w:pPr>
      <w:r>
        <w:rPr>
          <w:rFonts w:cs="Arial"/>
          <w:b w:val="0"/>
          <w:color w:val="000000" w:themeColor="text1"/>
          <w:szCs w:val="20"/>
        </w:rPr>
        <w:t>Last month, the</w:t>
      </w:r>
      <w:r w:rsidRPr="00F1194C">
        <w:rPr>
          <w:rFonts w:cs="Arial"/>
          <w:b w:val="0"/>
          <w:color w:val="000000" w:themeColor="text1"/>
          <w:szCs w:val="20"/>
        </w:rPr>
        <w:t xml:space="preserve"> Australian Health Workforce Ministerial Council (the Ministerial Council) announced </w:t>
      </w:r>
      <w:r>
        <w:rPr>
          <w:rFonts w:cs="Arial"/>
          <w:b w:val="0"/>
          <w:color w:val="000000" w:themeColor="text1"/>
          <w:szCs w:val="20"/>
        </w:rPr>
        <w:t xml:space="preserve">the appointment of the Chair and </w:t>
      </w:r>
      <w:r w:rsidRPr="00F1194C">
        <w:rPr>
          <w:rFonts w:cs="Arial"/>
          <w:b w:val="0"/>
          <w:color w:val="000000" w:themeColor="text1"/>
          <w:szCs w:val="20"/>
        </w:rPr>
        <w:t xml:space="preserve">two new </w:t>
      </w:r>
      <w:r>
        <w:rPr>
          <w:rFonts w:cs="Arial"/>
          <w:b w:val="0"/>
          <w:color w:val="000000" w:themeColor="text1"/>
          <w:szCs w:val="20"/>
        </w:rPr>
        <w:t xml:space="preserve">practitioner </w:t>
      </w:r>
      <w:r w:rsidRPr="00F1194C">
        <w:rPr>
          <w:rFonts w:cs="Arial"/>
          <w:b w:val="0"/>
          <w:color w:val="000000" w:themeColor="text1"/>
          <w:szCs w:val="20"/>
        </w:rPr>
        <w:t xml:space="preserve">members </w:t>
      </w:r>
      <w:r>
        <w:rPr>
          <w:rFonts w:cs="Arial"/>
          <w:b w:val="0"/>
          <w:color w:val="000000" w:themeColor="text1"/>
          <w:szCs w:val="20"/>
        </w:rPr>
        <w:t>of</w:t>
      </w:r>
      <w:r w:rsidRPr="00F1194C">
        <w:rPr>
          <w:rFonts w:cs="Arial"/>
          <w:b w:val="0"/>
          <w:color w:val="000000" w:themeColor="text1"/>
          <w:szCs w:val="20"/>
        </w:rPr>
        <w:t xml:space="preserve"> the Osteopathy Board</w:t>
      </w:r>
      <w:r>
        <w:rPr>
          <w:rFonts w:cs="Arial"/>
          <w:b w:val="0"/>
          <w:color w:val="000000" w:themeColor="text1"/>
          <w:szCs w:val="20"/>
        </w:rPr>
        <w:t>:</w:t>
      </w:r>
    </w:p>
    <w:p w:rsidR="00F1194C" w:rsidRPr="00F1194C" w:rsidRDefault="00F1194C" w:rsidP="00F1194C">
      <w:pPr>
        <w:pStyle w:val="AHPRASubheading"/>
        <w:numPr>
          <w:ilvl w:val="0"/>
          <w:numId w:val="32"/>
        </w:numPr>
        <w:rPr>
          <w:rFonts w:cs="Arial"/>
          <w:b w:val="0"/>
          <w:color w:val="0D0D0D" w:themeColor="text1" w:themeTint="F2"/>
          <w:szCs w:val="20"/>
        </w:rPr>
      </w:pPr>
      <w:r w:rsidRPr="00F1194C">
        <w:rPr>
          <w:rFonts w:cs="Arial"/>
          <w:b w:val="0"/>
          <w:color w:val="0D0D0D" w:themeColor="text1" w:themeTint="F2"/>
          <w:szCs w:val="20"/>
        </w:rPr>
        <w:t>Dr Nikole Grbin as the new Chair of the National Board. This appointment is to 30 August 2015</w:t>
      </w:r>
      <w:r>
        <w:rPr>
          <w:rFonts w:cs="Arial"/>
          <w:b w:val="0"/>
          <w:color w:val="0D0D0D" w:themeColor="text1" w:themeTint="F2"/>
          <w:szCs w:val="20"/>
        </w:rPr>
        <w:t xml:space="preserve"> and </w:t>
      </w:r>
      <w:r w:rsidRPr="00F1194C">
        <w:rPr>
          <w:rFonts w:cs="Arial"/>
          <w:b w:val="0"/>
          <w:color w:val="0D0D0D" w:themeColor="text1" w:themeTint="F2"/>
          <w:szCs w:val="20"/>
        </w:rPr>
        <w:t>Dr Grbin continues her current appointment as the National Board practitioner member from South Australia</w:t>
      </w:r>
    </w:p>
    <w:p w:rsidR="00F1194C" w:rsidRPr="00F1194C" w:rsidRDefault="00F1194C" w:rsidP="00F1194C">
      <w:pPr>
        <w:pStyle w:val="AHPRASubheading"/>
        <w:numPr>
          <w:ilvl w:val="0"/>
          <w:numId w:val="32"/>
        </w:numPr>
        <w:rPr>
          <w:rFonts w:cs="Arial"/>
          <w:b w:val="0"/>
          <w:color w:val="0D0D0D" w:themeColor="text1" w:themeTint="F2"/>
          <w:szCs w:val="20"/>
        </w:rPr>
      </w:pPr>
      <w:r w:rsidRPr="00F1194C">
        <w:rPr>
          <w:rFonts w:cs="Arial"/>
          <w:b w:val="0"/>
          <w:color w:val="0D0D0D" w:themeColor="text1" w:themeTint="F2"/>
          <w:szCs w:val="20"/>
        </w:rPr>
        <w:t>Ms Anne Cooper has been appointed for a first term as a practitioner member from New South Wales for a period of three years to 30 August 2017</w:t>
      </w:r>
      <w:r w:rsidR="000F5DDB">
        <w:rPr>
          <w:rFonts w:cs="Arial"/>
          <w:b w:val="0"/>
          <w:color w:val="0D0D0D" w:themeColor="text1" w:themeTint="F2"/>
          <w:szCs w:val="20"/>
        </w:rPr>
        <w:t>, and</w:t>
      </w:r>
    </w:p>
    <w:p w:rsidR="00F1194C" w:rsidRPr="00F1194C" w:rsidRDefault="00D5260D" w:rsidP="00F1194C">
      <w:pPr>
        <w:pStyle w:val="AHPRASubheading"/>
        <w:numPr>
          <w:ilvl w:val="0"/>
          <w:numId w:val="32"/>
        </w:numPr>
        <w:rPr>
          <w:rFonts w:cs="Arial"/>
          <w:b w:val="0"/>
          <w:color w:val="0D0D0D" w:themeColor="text1" w:themeTint="F2"/>
          <w:szCs w:val="20"/>
        </w:rPr>
      </w:pPr>
      <w:r>
        <w:rPr>
          <w:rFonts w:cs="Arial"/>
          <w:b w:val="0"/>
          <w:color w:val="0D0D0D" w:themeColor="text1" w:themeTint="F2"/>
          <w:szCs w:val="20"/>
        </w:rPr>
        <w:t>Dr Andrew Yak</w:t>
      </w:r>
      <w:r w:rsidR="00F1194C" w:rsidRPr="00F1194C">
        <w:rPr>
          <w:rFonts w:cs="Arial"/>
          <w:b w:val="0"/>
          <w:color w:val="0D0D0D" w:themeColor="text1" w:themeTint="F2"/>
          <w:szCs w:val="20"/>
        </w:rPr>
        <w:t>sich has been appointed for a first term as a practitioner member from Western Australia for a period of three years to 6 August 2017</w:t>
      </w:r>
      <w:r w:rsidR="000F5DDB">
        <w:rPr>
          <w:rFonts w:cs="Arial"/>
          <w:b w:val="0"/>
          <w:color w:val="0D0D0D" w:themeColor="text1" w:themeTint="F2"/>
          <w:szCs w:val="20"/>
        </w:rPr>
        <w:t>.</w:t>
      </w:r>
    </w:p>
    <w:p w:rsidR="009A2E74" w:rsidRPr="00A27FF1" w:rsidRDefault="009A2E74" w:rsidP="009A2E74">
      <w:pPr>
        <w:pStyle w:val="AHPRASubheading"/>
        <w:rPr>
          <w:color w:val="008EC4"/>
          <w:lang w:val="en-US"/>
        </w:rPr>
      </w:pPr>
      <w:r w:rsidRPr="00A27FF1">
        <w:rPr>
          <w:color w:val="008EC4"/>
          <w:lang w:val="en-US"/>
        </w:rPr>
        <w:t>Registration fees for 201</w:t>
      </w:r>
      <w:r>
        <w:rPr>
          <w:color w:val="008EC4"/>
          <w:lang w:val="en-US"/>
        </w:rPr>
        <w:t>4</w:t>
      </w:r>
      <w:r w:rsidRPr="00A27FF1">
        <w:rPr>
          <w:color w:val="008EC4"/>
          <w:lang w:val="en-US"/>
        </w:rPr>
        <w:t>/1</w:t>
      </w:r>
      <w:r>
        <w:rPr>
          <w:color w:val="008EC4"/>
          <w:lang w:val="en-US"/>
        </w:rPr>
        <w:t>5</w:t>
      </w:r>
      <w:r w:rsidRPr="00A27FF1">
        <w:rPr>
          <w:color w:val="008EC4"/>
          <w:lang w:val="en-US"/>
        </w:rPr>
        <w:t xml:space="preserve"> </w:t>
      </w:r>
    </w:p>
    <w:p w:rsidR="009A2E74" w:rsidRPr="00530F2F" w:rsidRDefault="009A2E74" w:rsidP="00FD0E26">
      <w:pPr>
        <w:widowControl w:val="0"/>
        <w:autoSpaceDE w:val="0"/>
        <w:autoSpaceDN w:val="0"/>
        <w:adjustRightInd w:val="0"/>
        <w:ind w:right="480"/>
        <w:rPr>
          <w:rFonts w:ascii="Arial" w:eastAsia="Cambria" w:hAnsi="Arial" w:cs="Arial"/>
          <w:color w:val="000000"/>
          <w:sz w:val="20"/>
          <w:szCs w:val="20"/>
          <w:lang w:eastAsia="en-US"/>
        </w:rPr>
      </w:pPr>
      <w:r w:rsidRPr="00E17DAC">
        <w:rPr>
          <w:rFonts w:ascii="Arial" w:eastAsia="Cambria" w:hAnsi="Arial" w:cs="Arial"/>
          <w:color w:val="000000"/>
          <w:sz w:val="20"/>
          <w:szCs w:val="20"/>
          <w:lang w:eastAsia="en-US"/>
        </w:rPr>
        <w:t xml:space="preserve">The Board has announced the </w:t>
      </w:r>
      <w:r>
        <w:rPr>
          <w:rFonts w:ascii="Arial" w:eastAsia="Cambria" w:hAnsi="Arial" w:cs="Arial"/>
          <w:color w:val="000000"/>
          <w:sz w:val="20"/>
          <w:szCs w:val="20"/>
          <w:lang w:eastAsia="en-US"/>
        </w:rPr>
        <w:t xml:space="preserve">registration </w:t>
      </w:r>
      <w:r w:rsidRPr="00E17DAC">
        <w:rPr>
          <w:rFonts w:ascii="Arial" w:eastAsia="Cambria" w:hAnsi="Arial" w:cs="Arial"/>
          <w:color w:val="000000"/>
          <w:sz w:val="20"/>
          <w:szCs w:val="20"/>
          <w:lang w:eastAsia="en-US"/>
        </w:rPr>
        <w:t>fees for osteopaths for 201</w:t>
      </w:r>
      <w:r>
        <w:rPr>
          <w:rFonts w:ascii="Arial" w:eastAsia="Cambria" w:hAnsi="Arial" w:cs="Arial"/>
          <w:color w:val="000000"/>
          <w:sz w:val="20"/>
          <w:szCs w:val="20"/>
          <w:lang w:eastAsia="en-US"/>
        </w:rPr>
        <w:t>4</w:t>
      </w:r>
      <w:r w:rsidRPr="00E17DAC">
        <w:rPr>
          <w:rFonts w:ascii="Arial" w:eastAsia="Cambria" w:hAnsi="Arial" w:cs="Arial"/>
          <w:color w:val="000000"/>
          <w:sz w:val="20"/>
          <w:szCs w:val="20"/>
          <w:lang w:eastAsia="en-US"/>
        </w:rPr>
        <w:t>/1</w:t>
      </w:r>
      <w:r>
        <w:rPr>
          <w:rFonts w:ascii="Arial" w:eastAsia="Cambria" w:hAnsi="Arial" w:cs="Arial"/>
          <w:color w:val="000000"/>
          <w:sz w:val="20"/>
          <w:szCs w:val="20"/>
          <w:lang w:eastAsia="en-US"/>
        </w:rPr>
        <w:t>5</w:t>
      </w:r>
      <w:r w:rsidRPr="00E17DAC">
        <w:rPr>
          <w:rFonts w:ascii="Arial" w:eastAsia="Cambria" w:hAnsi="Arial" w:cs="Arial"/>
          <w:color w:val="000000"/>
          <w:sz w:val="20"/>
          <w:szCs w:val="20"/>
          <w:lang w:eastAsia="en-US"/>
        </w:rPr>
        <w:t xml:space="preserve">. The </w:t>
      </w:r>
      <w:r w:rsidR="00FD0E26" w:rsidRPr="00E17DAC">
        <w:rPr>
          <w:rFonts w:ascii="Arial" w:eastAsia="Cambria" w:hAnsi="Arial" w:cs="Arial"/>
          <w:color w:val="000000"/>
          <w:sz w:val="20"/>
          <w:szCs w:val="20"/>
          <w:lang w:eastAsia="en-US"/>
        </w:rPr>
        <w:t xml:space="preserve">Board is pleased to </w:t>
      </w:r>
      <w:r w:rsidR="00FD0E26">
        <w:rPr>
          <w:rFonts w:ascii="Arial" w:eastAsia="Cambria" w:hAnsi="Arial" w:cs="Arial"/>
          <w:color w:val="000000"/>
          <w:sz w:val="20"/>
          <w:szCs w:val="20"/>
          <w:lang w:eastAsia="en-US"/>
        </w:rPr>
        <w:t xml:space="preserve">reduce the registration fees by $100 </w:t>
      </w:r>
      <w:r w:rsidR="00914DD1">
        <w:rPr>
          <w:rFonts w:ascii="Arial" w:eastAsia="Cambria" w:hAnsi="Arial" w:cs="Arial"/>
          <w:color w:val="000000"/>
          <w:sz w:val="20"/>
          <w:szCs w:val="20"/>
          <w:lang w:eastAsia="en-US"/>
        </w:rPr>
        <w:t>to</w:t>
      </w:r>
      <w:r w:rsidRPr="00E17DAC">
        <w:rPr>
          <w:rFonts w:ascii="Arial" w:eastAsia="Cambria" w:hAnsi="Arial" w:cs="Arial"/>
          <w:color w:val="000000"/>
          <w:sz w:val="20"/>
          <w:szCs w:val="20"/>
          <w:lang w:eastAsia="en-US"/>
        </w:rPr>
        <w:t xml:space="preserve"> $</w:t>
      </w:r>
      <w:r>
        <w:rPr>
          <w:rFonts w:ascii="Arial" w:eastAsia="Cambria" w:hAnsi="Arial" w:cs="Arial"/>
          <w:color w:val="000000"/>
          <w:sz w:val="20"/>
          <w:szCs w:val="20"/>
          <w:lang w:eastAsia="en-US"/>
        </w:rPr>
        <w:t>4</w:t>
      </w:r>
      <w:r w:rsidRPr="00E17DAC">
        <w:rPr>
          <w:rFonts w:ascii="Arial" w:eastAsia="Cambria" w:hAnsi="Arial" w:cs="Arial"/>
          <w:color w:val="000000"/>
          <w:sz w:val="20"/>
          <w:szCs w:val="20"/>
          <w:lang w:eastAsia="en-US"/>
        </w:rPr>
        <w:t>16</w:t>
      </w:r>
      <w:r>
        <w:rPr>
          <w:rFonts w:ascii="Arial" w:eastAsia="Cambria" w:hAnsi="Arial" w:cs="Arial"/>
          <w:color w:val="000000"/>
          <w:sz w:val="20"/>
          <w:szCs w:val="20"/>
          <w:lang w:eastAsia="en-US"/>
        </w:rPr>
        <w:t>.</w:t>
      </w:r>
      <w:r w:rsidRPr="00E17DAC">
        <w:rPr>
          <w:rFonts w:ascii="Arial" w:eastAsia="Cambria" w:hAnsi="Arial" w:cs="Arial"/>
          <w:color w:val="000000"/>
          <w:sz w:val="20"/>
          <w:szCs w:val="20"/>
          <w:lang w:eastAsia="en-US"/>
        </w:rPr>
        <w:t xml:space="preserve"> </w:t>
      </w:r>
      <w:r w:rsidR="00FD0E26">
        <w:rPr>
          <w:rFonts w:ascii="Arial" w:eastAsia="Cambria" w:hAnsi="Arial" w:cs="Arial"/>
          <w:color w:val="000000"/>
          <w:sz w:val="20"/>
          <w:szCs w:val="20"/>
          <w:lang w:eastAsia="en-US"/>
        </w:rPr>
        <w:t xml:space="preserve">Five other national boards have reduced fees for 2014/15. </w:t>
      </w:r>
      <w:r w:rsidR="00FD0E26" w:rsidRPr="00E17DAC">
        <w:rPr>
          <w:rFonts w:ascii="Arial" w:eastAsia="Cambria" w:hAnsi="Arial" w:cs="Arial"/>
          <w:color w:val="000000"/>
          <w:sz w:val="20"/>
          <w:szCs w:val="20"/>
          <w:lang w:eastAsia="en-US"/>
        </w:rPr>
        <w:t>The regulation of osteopathy is funded solely by registrant fees and there is no cross subsidisation between professions regulated in the National Registration and Accreditation Scheme</w:t>
      </w:r>
      <w:r w:rsidR="00FD0E26">
        <w:rPr>
          <w:rFonts w:ascii="Arial" w:eastAsia="Cambria" w:hAnsi="Arial" w:cs="Arial"/>
          <w:color w:val="000000"/>
          <w:sz w:val="20"/>
          <w:szCs w:val="20"/>
          <w:lang w:eastAsia="en-US"/>
        </w:rPr>
        <w:t xml:space="preserve"> (National Scheme)</w:t>
      </w:r>
      <w:r w:rsidR="00FD0E26" w:rsidRPr="00E17DAC">
        <w:rPr>
          <w:rFonts w:ascii="Arial" w:eastAsia="Cambria" w:hAnsi="Arial" w:cs="Arial"/>
          <w:color w:val="000000"/>
          <w:sz w:val="20"/>
          <w:szCs w:val="20"/>
          <w:lang w:eastAsia="en-US"/>
        </w:rPr>
        <w:t>.</w:t>
      </w:r>
      <w:r w:rsidR="00FD0E26">
        <w:rPr>
          <w:rFonts w:ascii="Arial" w:eastAsia="Cambria" w:hAnsi="Arial" w:cs="Arial"/>
          <w:color w:val="000000"/>
          <w:sz w:val="20"/>
          <w:szCs w:val="20"/>
          <w:lang w:eastAsia="en-US"/>
        </w:rPr>
        <w:t xml:space="preserve"> </w:t>
      </w:r>
      <w:r w:rsidRPr="00E17DAC">
        <w:rPr>
          <w:rFonts w:ascii="Arial" w:eastAsia="Cambria" w:hAnsi="Arial" w:cs="Arial"/>
          <w:color w:val="000000"/>
          <w:sz w:val="20"/>
          <w:szCs w:val="20"/>
          <w:lang w:eastAsia="en-US"/>
        </w:rPr>
        <w:t>A</w:t>
      </w:r>
      <w:r>
        <w:rPr>
          <w:rFonts w:ascii="Arial" w:eastAsia="Cambria" w:hAnsi="Arial" w:cs="Arial"/>
          <w:color w:val="000000"/>
          <w:sz w:val="20"/>
          <w:szCs w:val="20"/>
          <w:lang w:eastAsia="en-US"/>
        </w:rPr>
        <w:t xml:space="preserve"> </w:t>
      </w:r>
      <w:hyperlink r:id="rId9" w:history="1">
        <w:r w:rsidRPr="00E17DAC">
          <w:rPr>
            <w:rFonts w:ascii="Arial" w:eastAsia="Cambria" w:hAnsi="Arial" w:cs="Arial"/>
            <w:color w:val="000000"/>
            <w:sz w:val="20"/>
            <w:szCs w:val="20"/>
            <w:lang w:eastAsia="en-US"/>
          </w:rPr>
          <w:t>fee schedule</w:t>
        </w:r>
      </w:hyperlink>
      <w:r w:rsidRPr="00E17DAC">
        <w:rPr>
          <w:rFonts w:ascii="Arial" w:eastAsia="Cambria" w:hAnsi="Arial" w:cs="Arial"/>
          <w:color w:val="000000"/>
          <w:sz w:val="20"/>
          <w:szCs w:val="20"/>
          <w:lang w:eastAsia="en-US"/>
        </w:rPr>
        <w:t xml:space="preserve"> </w:t>
      </w:r>
      <w:r w:rsidR="000F5DDB">
        <w:rPr>
          <w:rFonts w:ascii="Arial" w:eastAsia="Cambria" w:hAnsi="Arial" w:cs="Arial"/>
          <w:color w:val="000000"/>
          <w:sz w:val="20"/>
          <w:szCs w:val="20"/>
          <w:lang w:eastAsia="en-US"/>
        </w:rPr>
        <w:t>is</w:t>
      </w:r>
      <w:r w:rsidRPr="00E17DAC">
        <w:rPr>
          <w:rFonts w:ascii="Arial" w:eastAsia="Cambria" w:hAnsi="Arial" w:cs="Arial"/>
          <w:color w:val="000000"/>
          <w:sz w:val="20"/>
          <w:szCs w:val="20"/>
          <w:lang w:eastAsia="en-US"/>
        </w:rPr>
        <w:t xml:space="preserve"> published on the Osteopathy Board’s website.</w:t>
      </w:r>
      <w:r w:rsidR="00FD0E26">
        <w:rPr>
          <w:rFonts w:ascii="Arial" w:eastAsia="Cambria" w:hAnsi="Arial" w:cs="Arial"/>
          <w:color w:val="000000"/>
          <w:sz w:val="20"/>
          <w:szCs w:val="20"/>
          <w:lang w:eastAsia="en-US"/>
        </w:rPr>
        <w:t xml:space="preserve"> </w:t>
      </w:r>
    </w:p>
    <w:p w:rsidR="009A2E74" w:rsidRPr="00530F2F" w:rsidRDefault="00FD0E26" w:rsidP="00FD0E26">
      <w:pPr>
        <w:widowControl w:val="0"/>
        <w:autoSpaceDE w:val="0"/>
        <w:autoSpaceDN w:val="0"/>
        <w:adjustRightInd w:val="0"/>
        <w:spacing w:before="240"/>
        <w:rPr>
          <w:rFonts w:ascii="Arial" w:eastAsia="Cambria" w:hAnsi="Arial" w:cs="Arial"/>
          <w:color w:val="000000"/>
          <w:sz w:val="20"/>
          <w:szCs w:val="20"/>
          <w:lang w:eastAsia="en-US"/>
        </w:rPr>
      </w:pPr>
      <w:r w:rsidRPr="00E17DAC">
        <w:rPr>
          <w:rFonts w:ascii="Arial" w:eastAsia="Cambria" w:hAnsi="Arial" w:cs="Arial"/>
          <w:color w:val="000000"/>
          <w:sz w:val="20"/>
          <w:szCs w:val="20"/>
          <w:lang w:eastAsia="en-US"/>
        </w:rPr>
        <w:t xml:space="preserve">The national fee will apply from </w:t>
      </w:r>
      <w:r>
        <w:rPr>
          <w:rFonts w:ascii="Arial" w:eastAsia="Cambria" w:hAnsi="Arial" w:cs="Arial"/>
          <w:color w:val="000000"/>
          <w:sz w:val="20"/>
          <w:szCs w:val="20"/>
          <w:lang w:eastAsia="en-US"/>
        </w:rPr>
        <w:t>9 September</w:t>
      </w:r>
      <w:r w:rsidRPr="00E17DAC">
        <w:rPr>
          <w:rFonts w:ascii="Arial" w:eastAsia="Cambria" w:hAnsi="Arial" w:cs="Arial"/>
          <w:color w:val="000000"/>
          <w:sz w:val="20"/>
          <w:szCs w:val="20"/>
          <w:lang w:eastAsia="en-US"/>
        </w:rPr>
        <w:t xml:space="preserve"> 201</w:t>
      </w:r>
      <w:r>
        <w:rPr>
          <w:rFonts w:ascii="Arial" w:eastAsia="Cambria" w:hAnsi="Arial" w:cs="Arial"/>
          <w:color w:val="000000"/>
          <w:sz w:val="20"/>
          <w:szCs w:val="20"/>
          <w:lang w:eastAsia="en-US"/>
        </w:rPr>
        <w:t>4</w:t>
      </w:r>
      <w:r w:rsidRPr="00E17DAC">
        <w:rPr>
          <w:rFonts w:ascii="Arial" w:eastAsia="Cambria" w:hAnsi="Arial" w:cs="Arial"/>
          <w:color w:val="000000"/>
          <w:sz w:val="20"/>
          <w:szCs w:val="20"/>
          <w:lang w:eastAsia="en-US"/>
        </w:rPr>
        <w:t xml:space="preserve"> for all osteopaths in Australia, except </w:t>
      </w:r>
      <w:r>
        <w:rPr>
          <w:rFonts w:ascii="Arial" w:eastAsia="Cambria" w:hAnsi="Arial" w:cs="Arial"/>
          <w:color w:val="000000"/>
          <w:sz w:val="20"/>
          <w:szCs w:val="20"/>
          <w:lang w:eastAsia="en-US"/>
        </w:rPr>
        <w:t>those</w:t>
      </w:r>
      <w:r w:rsidRPr="00E17DAC">
        <w:rPr>
          <w:rFonts w:ascii="Arial" w:eastAsia="Cambria" w:hAnsi="Arial" w:cs="Arial"/>
          <w:color w:val="000000"/>
          <w:sz w:val="20"/>
          <w:szCs w:val="20"/>
          <w:lang w:eastAsia="en-US"/>
        </w:rPr>
        <w:t xml:space="preserve"> with a principal place of practice in NSW</w:t>
      </w:r>
      <w:r>
        <w:rPr>
          <w:rFonts w:ascii="Arial" w:eastAsia="Cambria" w:hAnsi="Arial" w:cs="Arial"/>
          <w:color w:val="000000"/>
          <w:sz w:val="20"/>
          <w:szCs w:val="20"/>
          <w:lang w:eastAsia="en-US"/>
        </w:rPr>
        <w:t xml:space="preserve"> where the fee is $535</w:t>
      </w:r>
      <w:r w:rsidRPr="00E17DAC">
        <w:rPr>
          <w:rFonts w:ascii="Arial" w:eastAsia="Cambria" w:hAnsi="Arial" w:cs="Arial"/>
          <w:color w:val="000000"/>
          <w:sz w:val="20"/>
          <w:szCs w:val="20"/>
          <w:lang w:eastAsia="en-US"/>
        </w:rPr>
        <w:t xml:space="preserve">. </w:t>
      </w:r>
      <w:r w:rsidR="009A2E74" w:rsidRPr="00E17DAC">
        <w:rPr>
          <w:rFonts w:ascii="Arial" w:eastAsia="Cambria" w:hAnsi="Arial" w:cs="Arial"/>
          <w:color w:val="000000"/>
          <w:sz w:val="20"/>
          <w:szCs w:val="20"/>
          <w:lang w:eastAsia="en-US"/>
        </w:rPr>
        <w:t xml:space="preserve">NSW is a co-regulatory jurisdiction within the </w:t>
      </w:r>
      <w:r>
        <w:rPr>
          <w:rFonts w:ascii="Arial" w:eastAsia="Cambria" w:hAnsi="Arial" w:cs="Arial"/>
          <w:color w:val="000000"/>
          <w:sz w:val="20"/>
          <w:szCs w:val="20"/>
          <w:lang w:eastAsia="en-US"/>
        </w:rPr>
        <w:t xml:space="preserve">National Scheme. </w:t>
      </w:r>
      <w:r w:rsidR="009A2E74" w:rsidRPr="00E17DAC">
        <w:rPr>
          <w:rFonts w:ascii="Arial" w:eastAsia="Cambria" w:hAnsi="Arial" w:cs="Arial"/>
          <w:color w:val="000000"/>
          <w:sz w:val="20"/>
          <w:szCs w:val="20"/>
          <w:lang w:eastAsia="en-US"/>
        </w:rPr>
        <w:t xml:space="preserve">The Osteopathy Council in NSW is responsible for setting the notifications/complaints element of the registration fee payable by NSW practitioners. The fee NSW practitioners pay is the </w:t>
      </w:r>
      <w:r w:rsidR="009A2E74" w:rsidRPr="00E17DAC">
        <w:rPr>
          <w:rFonts w:ascii="Arial" w:eastAsia="Cambria" w:hAnsi="Arial" w:cs="Arial"/>
          <w:color w:val="000000"/>
          <w:sz w:val="20"/>
          <w:szCs w:val="20"/>
          <w:lang w:eastAsia="en-US"/>
        </w:rPr>
        <w:lastRenderedPageBreak/>
        <w:t>combined sum of National Scheme costs (for registration and accreditation) and the fee set by the NSW Health Professional Councils for the notification/ complaints component. The NSW government contributes in NSW through funding for the Health Care Complaints Commission. The Osteopathy Board’s</w:t>
      </w:r>
      <w:r>
        <w:rPr>
          <w:rFonts w:ascii="Arial" w:eastAsia="Cambria" w:hAnsi="Arial" w:cs="Arial"/>
          <w:color w:val="000000"/>
          <w:sz w:val="20"/>
          <w:szCs w:val="20"/>
          <w:lang w:eastAsia="en-US"/>
        </w:rPr>
        <w:t xml:space="preserve"> </w:t>
      </w:r>
      <w:hyperlink r:id="rId10" w:history="1">
        <w:r w:rsidR="009A2E74" w:rsidRPr="00E17DAC">
          <w:rPr>
            <w:rFonts w:ascii="Arial" w:eastAsia="Cambria" w:hAnsi="Arial" w:cs="Arial"/>
            <w:color w:val="000000"/>
            <w:sz w:val="20"/>
            <w:szCs w:val="20"/>
            <w:lang w:eastAsia="en-US"/>
          </w:rPr>
          <w:t>media statement about the national fee</w:t>
        </w:r>
      </w:hyperlink>
      <w:r w:rsidR="009A2E74" w:rsidRPr="00E17DAC">
        <w:rPr>
          <w:rFonts w:ascii="Arial" w:eastAsia="Cambria" w:hAnsi="Arial" w:cs="Arial"/>
          <w:color w:val="000000"/>
          <w:sz w:val="20"/>
          <w:szCs w:val="20"/>
          <w:lang w:eastAsia="en-US"/>
        </w:rPr>
        <w:t xml:space="preserve"> is published on the </w:t>
      </w:r>
      <w:hyperlink r:id="rId11" w:history="1">
        <w:r w:rsidR="009A2E74" w:rsidRPr="00FD0E26">
          <w:rPr>
            <w:rStyle w:val="Hyperlink"/>
            <w:rFonts w:ascii="Arial" w:eastAsia="Cambria" w:hAnsi="Arial" w:cs="Arial"/>
            <w:sz w:val="20"/>
            <w:szCs w:val="20"/>
            <w:lang w:eastAsia="en-US"/>
          </w:rPr>
          <w:t xml:space="preserve">Osteopathy </w:t>
        </w:r>
        <w:r w:rsidR="009A2E74" w:rsidRPr="00FD0E26">
          <w:rPr>
            <w:rStyle w:val="Hyperlink"/>
            <w:rFonts w:ascii="Arial" w:eastAsia="Cambria" w:hAnsi="Arial" w:cs="Arial"/>
            <w:sz w:val="20"/>
            <w:szCs w:val="20"/>
          </w:rPr>
          <w:t>Board’s website</w:t>
        </w:r>
      </w:hyperlink>
      <w:r w:rsidR="009A2E74" w:rsidRPr="00A27FF1">
        <w:rPr>
          <w:rFonts w:ascii="Arial" w:eastAsia="Cambria" w:hAnsi="Arial" w:cs="Arial"/>
          <w:color w:val="000000"/>
          <w:sz w:val="20"/>
          <w:szCs w:val="20"/>
          <w:lang w:eastAsia="en-US"/>
        </w:rPr>
        <w:t>.</w:t>
      </w:r>
    </w:p>
    <w:p w:rsidR="00FD0E26" w:rsidRPr="00FD0E26" w:rsidRDefault="00795DD2" w:rsidP="00FD0E26">
      <w:pPr>
        <w:pStyle w:val="AHPRAHeadline"/>
        <w:spacing w:before="240" w:after="0"/>
        <w:rPr>
          <w:b/>
          <w:sz w:val="20"/>
        </w:rPr>
      </w:pPr>
      <w:r>
        <w:rPr>
          <w:b/>
          <w:sz w:val="20"/>
        </w:rPr>
        <w:t>Student</w:t>
      </w:r>
      <w:r w:rsidR="00F1194C">
        <w:rPr>
          <w:b/>
          <w:sz w:val="20"/>
        </w:rPr>
        <w:t>s</w:t>
      </w:r>
    </w:p>
    <w:p w:rsidR="0002083B" w:rsidRPr="00FD0E26" w:rsidRDefault="00FD0E26" w:rsidP="00FD0E26">
      <w:pPr>
        <w:pStyle w:val="Default"/>
        <w:spacing w:before="240"/>
        <w:rPr>
          <w:color w:val="auto"/>
          <w:sz w:val="20"/>
          <w:szCs w:val="20"/>
        </w:rPr>
      </w:pPr>
      <w:r w:rsidRPr="00FD0E26">
        <w:rPr>
          <w:sz w:val="20"/>
          <w:szCs w:val="20"/>
        </w:rPr>
        <w:t xml:space="preserve">Osteopathy Board Chair visited each university that offers osteopathy programs during the past </w:t>
      </w:r>
      <w:r w:rsidR="00F1194C">
        <w:rPr>
          <w:sz w:val="20"/>
          <w:szCs w:val="20"/>
        </w:rPr>
        <w:t xml:space="preserve">two </w:t>
      </w:r>
      <w:r w:rsidRPr="00FD0E26">
        <w:rPr>
          <w:sz w:val="20"/>
          <w:szCs w:val="20"/>
        </w:rPr>
        <w:t>month</w:t>
      </w:r>
      <w:r w:rsidR="00F1194C">
        <w:rPr>
          <w:sz w:val="20"/>
          <w:szCs w:val="20"/>
        </w:rPr>
        <w:t>s</w:t>
      </w:r>
      <w:r w:rsidRPr="00FD0E26">
        <w:rPr>
          <w:sz w:val="20"/>
          <w:szCs w:val="20"/>
        </w:rPr>
        <w:t xml:space="preserve"> and presented registration and regulation information to </w:t>
      </w:r>
      <w:r w:rsidR="00F1194C">
        <w:rPr>
          <w:sz w:val="20"/>
          <w:szCs w:val="20"/>
        </w:rPr>
        <w:t>1</w:t>
      </w:r>
      <w:r w:rsidR="00F1194C" w:rsidRPr="00F1194C">
        <w:rPr>
          <w:sz w:val="20"/>
          <w:szCs w:val="20"/>
          <w:vertAlign w:val="superscript"/>
        </w:rPr>
        <w:t>st</w:t>
      </w:r>
      <w:r w:rsidR="00F1194C">
        <w:rPr>
          <w:sz w:val="20"/>
          <w:szCs w:val="20"/>
        </w:rPr>
        <w:t>, 2</w:t>
      </w:r>
      <w:r w:rsidR="00F1194C" w:rsidRPr="00F1194C">
        <w:rPr>
          <w:sz w:val="20"/>
          <w:szCs w:val="20"/>
          <w:vertAlign w:val="superscript"/>
        </w:rPr>
        <w:t>nd</w:t>
      </w:r>
      <w:r w:rsidR="00F1194C">
        <w:rPr>
          <w:sz w:val="20"/>
          <w:szCs w:val="20"/>
        </w:rPr>
        <w:t xml:space="preserve"> and 5th</w:t>
      </w:r>
      <w:r w:rsidRPr="00FD0E26">
        <w:rPr>
          <w:sz w:val="20"/>
          <w:szCs w:val="20"/>
        </w:rPr>
        <w:t xml:space="preserve"> year students. Students of an approved program leading to registration as an osteopath will be able to go online in October to apply for registration before they graduate.</w:t>
      </w:r>
    </w:p>
    <w:p w:rsidR="00B74334" w:rsidRDefault="00B74334" w:rsidP="00B74334">
      <w:pPr>
        <w:pStyle w:val="AHPRASubheading"/>
      </w:pPr>
      <w:r>
        <w:t>Consultation paper for the three year review of NRAS</w:t>
      </w:r>
    </w:p>
    <w:p w:rsidR="00B74334" w:rsidRPr="00B74334" w:rsidRDefault="00B74334" w:rsidP="00B74334">
      <w:pPr>
        <w:spacing w:after="120"/>
        <w:rPr>
          <w:rFonts w:ascii="Arial" w:hAnsi="Arial" w:cs="Arial"/>
          <w:sz w:val="20"/>
          <w:szCs w:val="20"/>
          <w:lang w:val="en-US"/>
        </w:rPr>
      </w:pPr>
      <w:r w:rsidRPr="00B74334">
        <w:rPr>
          <w:rFonts w:ascii="Arial" w:hAnsi="Arial" w:cs="Arial"/>
          <w:sz w:val="20"/>
          <w:szCs w:val="20"/>
          <w:lang w:val="en-US"/>
        </w:rPr>
        <w:t>On Friday 30</w:t>
      </w:r>
      <w:r w:rsidRPr="00B74334">
        <w:rPr>
          <w:rFonts w:ascii="Arial" w:hAnsi="Arial" w:cs="Arial"/>
          <w:sz w:val="20"/>
          <w:szCs w:val="20"/>
          <w:vertAlign w:val="superscript"/>
          <w:lang w:val="en-US"/>
        </w:rPr>
        <w:t>th</w:t>
      </w:r>
      <w:r w:rsidRPr="00B74334">
        <w:rPr>
          <w:rFonts w:ascii="Arial" w:hAnsi="Arial" w:cs="Arial"/>
          <w:sz w:val="20"/>
          <w:szCs w:val="20"/>
          <w:lang w:val="en-US"/>
        </w:rPr>
        <w:t xml:space="preserve"> August, the consultation paper for the scheduled three year review of the National Scheme was published. The consultation paper is considering the National Scheme as a whole including the work of Boards, AHPRA, accrediting entities and the role of governments. The consultation paper can be accessed </w:t>
      </w:r>
      <w:hyperlink r:id="rId12" w:history="1">
        <w:r w:rsidRPr="00B74334">
          <w:rPr>
            <w:rStyle w:val="Hyperlink"/>
            <w:rFonts w:ascii="Arial" w:hAnsi="Arial" w:cs="Arial"/>
            <w:sz w:val="20"/>
            <w:szCs w:val="20"/>
            <w:lang w:val="en-US"/>
          </w:rPr>
          <w:t>here</w:t>
        </w:r>
      </w:hyperlink>
      <w:r w:rsidRPr="00B74334">
        <w:rPr>
          <w:rFonts w:ascii="Arial" w:hAnsi="Arial" w:cs="Arial"/>
          <w:sz w:val="20"/>
          <w:szCs w:val="20"/>
          <w:lang w:val="en-US"/>
        </w:rPr>
        <w:t>.</w:t>
      </w:r>
    </w:p>
    <w:p w:rsidR="00CD3F82" w:rsidRPr="00462C6A" w:rsidRDefault="00CD3F82" w:rsidP="00462C6A">
      <w:pPr>
        <w:pStyle w:val="AHPRASubhead"/>
        <w:spacing w:before="200"/>
        <w:rPr>
          <w:rFonts w:cs="Arial"/>
          <w:bCs/>
        </w:rPr>
      </w:pPr>
      <w:r w:rsidRPr="00462C6A">
        <w:rPr>
          <w:rFonts w:cs="Arial"/>
          <w:bCs/>
        </w:rPr>
        <w:t>Keeping in touch with the Board</w:t>
      </w:r>
    </w:p>
    <w:p w:rsidR="00CD3F82" w:rsidRDefault="00CD3F82" w:rsidP="00462C6A">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3"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774C80">
      <w:pPr>
        <w:rPr>
          <w:rFonts w:ascii="Arial" w:hAnsi="Arial" w:cs="Arial"/>
          <w:sz w:val="20"/>
          <w:szCs w:val="20"/>
          <w:lang w:val="en-US"/>
        </w:rPr>
      </w:pPr>
      <w:r>
        <w:rPr>
          <w:rFonts w:ascii="Arial" w:hAnsi="Arial" w:cs="Arial"/>
          <w:sz w:val="20"/>
          <w:szCs w:val="20"/>
          <w:lang w:val="en-US"/>
        </w:rPr>
        <w:t>30</w:t>
      </w:r>
      <w:r w:rsidR="00E47C83">
        <w:rPr>
          <w:rFonts w:ascii="Arial" w:hAnsi="Arial" w:cs="Arial"/>
          <w:sz w:val="20"/>
          <w:szCs w:val="20"/>
          <w:lang w:val="en-US"/>
        </w:rPr>
        <w:t xml:space="preserve"> </w:t>
      </w:r>
      <w:r w:rsidR="009D2454">
        <w:rPr>
          <w:rFonts w:ascii="Arial" w:hAnsi="Arial" w:cs="Arial"/>
          <w:sz w:val="20"/>
          <w:szCs w:val="20"/>
          <w:lang w:val="en-US"/>
        </w:rPr>
        <w:t xml:space="preserve">August </w:t>
      </w:r>
      <w:r w:rsidR="00CD3F82">
        <w:rPr>
          <w:rFonts w:ascii="Arial" w:hAnsi="Arial" w:cs="Arial"/>
          <w:sz w:val="20"/>
          <w:szCs w:val="20"/>
          <w:lang w:val="en-US"/>
        </w:rPr>
        <w:t>2014</w:t>
      </w:r>
    </w:p>
    <w:p w:rsidR="001A6013" w:rsidRDefault="001A6013">
      <w:pPr>
        <w:rPr>
          <w:rFonts w:ascii="Arial" w:hAnsi="Arial" w:cs="Arial"/>
          <w:sz w:val="20"/>
          <w:szCs w:val="20"/>
          <w:lang w:val="en-US"/>
        </w:rPr>
      </w:pPr>
    </w:p>
    <w:p w:rsidR="001A6013" w:rsidRDefault="001A6013" w:rsidP="001A6013">
      <w:pPr>
        <w:pStyle w:val="AHPRAHeadline"/>
        <w:spacing w:after="0"/>
        <w:rPr>
          <w:i/>
          <w:color w:val="auto"/>
          <w:sz w:val="18"/>
          <w:szCs w:val="18"/>
        </w:rPr>
      </w:pPr>
    </w:p>
    <w:p w:rsidR="001A6013" w:rsidRDefault="001A6013">
      <w:pPr>
        <w:rPr>
          <w:rFonts w:ascii="Arial" w:hAnsi="Arial" w:cs="Arial"/>
          <w:sz w:val="20"/>
          <w:szCs w:val="20"/>
          <w:lang w:val="en-US"/>
        </w:rPr>
      </w:pPr>
    </w:p>
    <w:sectPr w:rsidR="001A6013" w:rsidSect="00774EC4">
      <w:headerReference w:type="default" r:id="rId14"/>
      <w:footerReference w:type="default" r:id="rId15"/>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43" w:rsidRDefault="004E6B43" w:rsidP="00C13778">
      <w:r>
        <w:separator/>
      </w:r>
    </w:p>
  </w:endnote>
  <w:endnote w:type="continuationSeparator" w:id="0">
    <w:p w:rsidR="004E6B43" w:rsidRDefault="004E6B43"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4C" w:rsidRPr="000113E5" w:rsidRDefault="00F1194C" w:rsidP="00C13778">
    <w:pPr>
      <w:pStyle w:val="Footer"/>
      <w:jc w:val="right"/>
      <w:rPr>
        <w:sz w:val="20"/>
        <w:szCs w:val="20"/>
      </w:rPr>
    </w:pPr>
    <w:r w:rsidRPr="000113E5">
      <w:rPr>
        <w:sz w:val="20"/>
        <w:szCs w:val="20"/>
      </w:rPr>
      <w:t xml:space="preserve">Page </w:t>
    </w:r>
    <w:r w:rsidR="009708AE" w:rsidRPr="000113E5">
      <w:rPr>
        <w:sz w:val="20"/>
        <w:szCs w:val="20"/>
      </w:rPr>
      <w:fldChar w:fldCharType="begin"/>
    </w:r>
    <w:r w:rsidRPr="000113E5">
      <w:rPr>
        <w:sz w:val="20"/>
        <w:szCs w:val="20"/>
      </w:rPr>
      <w:instrText xml:space="preserve"> PAGE </w:instrText>
    </w:r>
    <w:r w:rsidR="009708AE" w:rsidRPr="000113E5">
      <w:rPr>
        <w:sz w:val="20"/>
        <w:szCs w:val="20"/>
      </w:rPr>
      <w:fldChar w:fldCharType="separate"/>
    </w:r>
    <w:r w:rsidR="000E16D0">
      <w:rPr>
        <w:noProof/>
        <w:sz w:val="20"/>
        <w:szCs w:val="20"/>
      </w:rPr>
      <w:t>2</w:t>
    </w:r>
    <w:r w:rsidR="009708AE" w:rsidRPr="000113E5">
      <w:rPr>
        <w:sz w:val="20"/>
        <w:szCs w:val="20"/>
      </w:rPr>
      <w:fldChar w:fldCharType="end"/>
    </w:r>
    <w:r w:rsidRPr="000113E5">
      <w:rPr>
        <w:sz w:val="20"/>
        <w:szCs w:val="20"/>
      </w:rPr>
      <w:t xml:space="preserve"> of </w:t>
    </w:r>
    <w:r w:rsidR="009708AE" w:rsidRPr="000113E5">
      <w:rPr>
        <w:sz w:val="20"/>
        <w:szCs w:val="20"/>
      </w:rPr>
      <w:fldChar w:fldCharType="begin"/>
    </w:r>
    <w:r w:rsidRPr="000113E5">
      <w:rPr>
        <w:sz w:val="20"/>
        <w:szCs w:val="20"/>
      </w:rPr>
      <w:instrText xml:space="preserve"> NUMPAGES </w:instrText>
    </w:r>
    <w:r w:rsidR="009708AE" w:rsidRPr="000113E5">
      <w:rPr>
        <w:sz w:val="20"/>
        <w:szCs w:val="20"/>
      </w:rPr>
      <w:fldChar w:fldCharType="separate"/>
    </w:r>
    <w:r w:rsidR="000E16D0">
      <w:rPr>
        <w:noProof/>
        <w:sz w:val="20"/>
        <w:szCs w:val="20"/>
      </w:rPr>
      <w:t>2</w:t>
    </w:r>
    <w:r w:rsidR="009708AE"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43" w:rsidRDefault="004E6B43" w:rsidP="00C13778">
      <w:r>
        <w:separator/>
      </w:r>
    </w:p>
  </w:footnote>
  <w:footnote w:type="continuationSeparator" w:id="0">
    <w:p w:rsidR="004E6B43" w:rsidRDefault="004E6B43"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4C" w:rsidRDefault="00F1194C"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255F0C"/>
    <w:multiLevelType w:val="hybridMultilevel"/>
    <w:tmpl w:val="18C49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4">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7">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8">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30">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9"/>
  </w:num>
  <w:num w:numId="2">
    <w:abstractNumId w:val="2"/>
  </w:num>
  <w:num w:numId="3">
    <w:abstractNumId w:val="13"/>
  </w:num>
  <w:num w:numId="4">
    <w:abstractNumId w:val="0"/>
  </w:num>
  <w:num w:numId="5">
    <w:abstractNumId w:val="28"/>
  </w:num>
  <w:num w:numId="6">
    <w:abstractNumId w:val="23"/>
  </w:num>
  <w:num w:numId="7">
    <w:abstractNumId w:val="12"/>
  </w:num>
  <w:num w:numId="8">
    <w:abstractNumId w:val="26"/>
  </w:num>
  <w:num w:numId="9">
    <w:abstractNumId w:val="14"/>
  </w:num>
  <w:num w:numId="10">
    <w:abstractNumId w:val="11"/>
  </w:num>
  <w:num w:numId="11">
    <w:abstractNumId w:val="21"/>
  </w:num>
  <w:num w:numId="12">
    <w:abstractNumId w:val="9"/>
  </w:num>
  <w:num w:numId="13">
    <w:abstractNumId w:val="3"/>
  </w:num>
  <w:num w:numId="14">
    <w:abstractNumId w:val="4"/>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25"/>
  </w:num>
  <w:num w:numId="20">
    <w:abstractNumId w:val="6"/>
  </w:num>
  <w:num w:numId="21">
    <w:abstractNumId w:val="20"/>
  </w:num>
  <w:num w:numId="22">
    <w:abstractNumId w:val="18"/>
  </w:num>
  <w:num w:numId="23">
    <w:abstractNumId w:val="7"/>
  </w:num>
  <w:num w:numId="24">
    <w:abstractNumId w:val="5"/>
  </w:num>
  <w:num w:numId="25">
    <w:abstractNumId w:val="19"/>
  </w:num>
  <w:num w:numId="26">
    <w:abstractNumId w:val="27"/>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083B"/>
    <w:rsid w:val="0002690A"/>
    <w:rsid w:val="00027753"/>
    <w:rsid w:val="00030632"/>
    <w:rsid w:val="000317EA"/>
    <w:rsid w:val="00033C72"/>
    <w:rsid w:val="00042050"/>
    <w:rsid w:val="00047CB3"/>
    <w:rsid w:val="00055D3D"/>
    <w:rsid w:val="00066DAE"/>
    <w:rsid w:val="0007755D"/>
    <w:rsid w:val="00083145"/>
    <w:rsid w:val="0008489C"/>
    <w:rsid w:val="00085AD4"/>
    <w:rsid w:val="000903D0"/>
    <w:rsid w:val="00093C6D"/>
    <w:rsid w:val="000A24FF"/>
    <w:rsid w:val="000B47B8"/>
    <w:rsid w:val="000C0F7B"/>
    <w:rsid w:val="000C2503"/>
    <w:rsid w:val="000C3328"/>
    <w:rsid w:val="000C387F"/>
    <w:rsid w:val="000C4340"/>
    <w:rsid w:val="000D55C4"/>
    <w:rsid w:val="000D7ECF"/>
    <w:rsid w:val="000E16D0"/>
    <w:rsid w:val="000E724C"/>
    <w:rsid w:val="000E7D7D"/>
    <w:rsid w:val="000F0898"/>
    <w:rsid w:val="000F1079"/>
    <w:rsid w:val="000F5270"/>
    <w:rsid w:val="000F5DDB"/>
    <w:rsid w:val="000F64C3"/>
    <w:rsid w:val="000F69F1"/>
    <w:rsid w:val="001014E2"/>
    <w:rsid w:val="001026C1"/>
    <w:rsid w:val="00107D93"/>
    <w:rsid w:val="00130835"/>
    <w:rsid w:val="00134BF9"/>
    <w:rsid w:val="00136673"/>
    <w:rsid w:val="0013761E"/>
    <w:rsid w:val="001439E9"/>
    <w:rsid w:val="00144617"/>
    <w:rsid w:val="0014571D"/>
    <w:rsid w:val="001526C9"/>
    <w:rsid w:val="00170908"/>
    <w:rsid w:val="00170ADE"/>
    <w:rsid w:val="00171227"/>
    <w:rsid w:val="0018280C"/>
    <w:rsid w:val="00185362"/>
    <w:rsid w:val="001A3CC3"/>
    <w:rsid w:val="001A6013"/>
    <w:rsid w:val="001B6A11"/>
    <w:rsid w:val="001C0EB6"/>
    <w:rsid w:val="001C7F07"/>
    <w:rsid w:val="001D07BE"/>
    <w:rsid w:val="001D5973"/>
    <w:rsid w:val="001E0540"/>
    <w:rsid w:val="001E238B"/>
    <w:rsid w:val="001E5346"/>
    <w:rsid w:val="001F4A6D"/>
    <w:rsid w:val="00202C3C"/>
    <w:rsid w:val="0021354D"/>
    <w:rsid w:val="00214F42"/>
    <w:rsid w:val="00217AD3"/>
    <w:rsid w:val="00220D8C"/>
    <w:rsid w:val="002230D0"/>
    <w:rsid w:val="00224D63"/>
    <w:rsid w:val="002266AE"/>
    <w:rsid w:val="0023399E"/>
    <w:rsid w:val="00234514"/>
    <w:rsid w:val="00237AE8"/>
    <w:rsid w:val="00241148"/>
    <w:rsid w:val="00244AD2"/>
    <w:rsid w:val="00244CFD"/>
    <w:rsid w:val="00250506"/>
    <w:rsid w:val="00260415"/>
    <w:rsid w:val="00262429"/>
    <w:rsid w:val="00267CD2"/>
    <w:rsid w:val="00280AA0"/>
    <w:rsid w:val="0029788F"/>
    <w:rsid w:val="002A2F92"/>
    <w:rsid w:val="002A383E"/>
    <w:rsid w:val="002B5E92"/>
    <w:rsid w:val="002B6617"/>
    <w:rsid w:val="002B7DF7"/>
    <w:rsid w:val="002C0B74"/>
    <w:rsid w:val="002C2E66"/>
    <w:rsid w:val="002D2DCA"/>
    <w:rsid w:val="002E1F44"/>
    <w:rsid w:val="002E45AE"/>
    <w:rsid w:val="002F12EC"/>
    <w:rsid w:val="002F190C"/>
    <w:rsid w:val="002F3218"/>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96773"/>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6C73"/>
    <w:rsid w:val="004A0939"/>
    <w:rsid w:val="004A1437"/>
    <w:rsid w:val="004A3DD6"/>
    <w:rsid w:val="004A5D36"/>
    <w:rsid w:val="004B0485"/>
    <w:rsid w:val="004B4609"/>
    <w:rsid w:val="004C2060"/>
    <w:rsid w:val="004D2A88"/>
    <w:rsid w:val="004D35DA"/>
    <w:rsid w:val="004D7F29"/>
    <w:rsid w:val="004E31E6"/>
    <w:rsid w:val="004E4A77"/>
    <w:rsid w:val="004E6B43"/>
    <w:rsid w:val="004F017C"/>
    <w:rsid w:val="004F1315"/>
    <w:rsid w:val="004F2301"/>
    <w:rsid w:val="004F61CB"/>
    <w:rsid w:val="004F6416"/>
    <w:rsid w:val="005031E6"/>
    <w:rsid w:val="00505DB2"/>
    <w:rsid w:val="0051043F"/>
    <w:rsid w:val="00511B15"/>
    <w:rsid w:val="00526184"/>
    <w:rsid w:val="005306D0"/>
    <w:rsid w:val="00530F2F"/>
    <w:rsid w:val="00544C5B"/>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D5BC6"/>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6F26C0"/>
    <w:rsid w:val="0070004D"/>
    <w:rsid w:val="007147B1"/>
    <w:rsid w:val="00716544"/>
    <w:rsid w:val="00716B9F"/>
    <w:rsid w:val="00716BCE"/>
    <w:rsid w:val="00721691"/>
    <w:rsid w:val="00721D78"/>
    <w:rsid w:val="00721FE7"/>
    <w:rsid w:val="00733CC4"/>
    <w:rsid w:val="0073625D"/>
    <w:rsid w:val="0073782C"/>
    <w:rsid w:val="00737F83"/>
    <w:rsid w:val="007452F7"/>
    <w:rsid w:val="00751989"/>
    <w:rsid w:val="0075280A"/>
    <w:rsid w:val="007567E1"/>
    <w:rsid w:val="0076120D"/>
    <w:rsid w:val="00762A80"/>
    <w:rsid w:val="00764E7A"/>
    <w:rsid w:val="00764F95"/>
    <w:rsid w:val="00771118"/>
    <w:rsid w:val="00774C80"/>
    <w:rsid w:val="00774EC4"/>
    <w:rsid w:val="00775FFA"/>
    <w:rsid w:val="00780D62"/>
    <w:rsid w:val="00781BE8"/>
    <w:rsid w:val="0079353A"/>
    <w:rsid w:val="00795DD2"/>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07FF1"/>
    <w:rsid w:val="009106F1"/>
    <w:rsid w:val="009107CE"/>
    <w:rsid w:val="00914176"/>
    <w:rsid w:val="00914DD1"/>
    <w:rsid w:val="00924C1B"/>
    <w:rsid w:val="00936503"/>
    <w:rsid w:val="009452DF"/>
    <w:rsid w:val="00950BC8"/>
    <w:rsid w:val="00952484"/>
    <w:rsid w:val="00955412"/>
    <w:rsid w:val="00957672"/>
    <w:rsid w:val="00957CBA"/>
    <w:rsid w:val="00957D16"/>
    <w:rsid w:val="009604A7"/>
    <w:rsid w:val="009606BD"/>
    <w:rsid w:val="0096344E"/>
    <w:rsid w:val="00965CFE"/>
    <w:rsid w:val="00967048"/>
    <w:rsid w:val="009678F0"/>
    <w:rsid w:val="00970531"/>
    <w:rsid w:val="009708AE"/>
    <w:rsid w:val="009778C6"/>
    <w:rsid w:val="00984DE5"/>
    <w:rsid w:val="009939F8"/>
    <w:rsid w:val="009A2E74"/>
    <w:rsid w:val="009A53F0"/>
    <w:rsid w:val="009A7A36"/>
    <w:rsid w:val="009A7FB1"/>
    <w:rsid w:val="009B5C82"/>
    <w:rsid w:val="009D2454"/>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37FEA"/>
    <w:rsid w:val="00A43B64"/>
    <w:rsid w:val="00A64200"/>
    <w:rsid w:val="00A643D8"/>
    <w:rsid w:val="00A647E8"/>
    <w:rsid w:val="00A718B7"/>
    <w:rsid w:val="00A76884"/>
    <w:rsid w:val="00A812AD"/>
    <w:rsid w:val="00A917A3"/>
    <w:rsid w:val="00A91AF0"/>
    <w:rsid w:val="00A93E7D"/>
    <w:rsid w:val="00AB2ABD"/>
    <w:rsid w:val="00AB4BD6"/>
    <w:rsid w:val="00AC1B2C"/>
    <w:rsid w:val="00AC247D"/>
    <w:rsid w:val="00AC6073"/>
    <w:rsid w:val="00AC756F"/>
    <w:rsid w:val="00AD4161"/>
    <w:rsid w:val="00AE237D"/>
    <w:rsid w:val="00AE3276"/>
    <w:rsid w:val="00AE3701"/>
    <w:rsid w:val="00AE47C6"/>
    <w:rsid w:val="00AE7F6C"/>
    <w:rsid w:val="00B02372"/>
    <w:rsid w:val="00B03537"/>
    <w:rsid w:val="00B10CA4"/>
    <w:rsid w:val="00B1330C"/>
    <w:rsid w:val="00B16592"/>
    <w:rsid w:val="00B205C1"/>
    <w:rsid w:val="00B20C0E"/>
    <w:rsid w:val="00B25994"/>
    <w:rsid w:val="00B317EA"/>
    <w:rsid w:val="00B33129"/>
    <w:rsid w:val="00B4255E"/>
    <w:rsid w:val="00B46F2D"/>
    <w:rsid w:val="00B600A1"/>
    <w:rsid w:val="00B74334"/>
    <w:rsid w:val="00B74650"/>
    <w:rsid w:val="00B75906"/>
    <w:rsid w:val="00B8730D"/>
    <w:rsid w:val="00B91DCB"/>
    <w:rsid w:val="00BA74CF"/>
    <w:rsid w:val="00BA7E08"/>
    <w:rsid w:val="00BB1869"/>
    <w:rsid w:val="00BB2DC8"/>
    <w:rsid w:val="00BB47E1"/>
    <w:rsid w:val="00BB5A8D"/>
    <w:rsid w:val="00BC3B3F"/>
    <w:rsid w:val="00BC5BFD"/>
    <w:rsid w:val="00BD2C6B"/>
    <w:rsid w:val="00BE439F"/>
    <w:rsid w:val="00BE4C8B"/>
    <w:rsid w:val="00BE68BB"/>
    <w:rsid w:val="00BF002B"/>
    <w:rsid w:val="00BF1941"/>
    <w:rsid w:val="00BF4F90"/>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D63FA"/>
    <w:rsid w:val="00CD65F4"/>
    <w:rsid w:val="00CE0D9C"/>
    <w:rsid w:val="00CE3110"/>
    <w:rsid w:val="00CF17C3"/>
    <w:rsid w:val="00D02142"/>
    <w:rsid w:val="00D0309E"/>
    <w:rsid w:val="00D17511"/>
    <w:rsid w:val="00D210AA"/>
    <w:rsid w:val="00D37D9A"/>
    <w:rsid w:val="00D40DDA"/>
    <w:rsid w:val="00D4634C"/>
    <w:rsid w:val="00D46E80"/>
    <w:rsid w:val="00D5260D"/>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410"/>
    <w:rsid w:val="00E17DAC"/>
    <w:rsid w:val="00E3415C"/>
    <w:rsid w:val="00E365E4"/>
    <w:rsid w:val="00E373F3"/>
    <w:rsid w:val="00E42608"/>
    <w:rsid w:val="00E43C9A"/>
    <w:rsid w:val="00E47C83"/>
    <w:rsid w:val="00E505D9"/>
    <w:rsid w:val="00E51430"/>
    <w:rsid w:val="00E61FEA"/>
    <w:rsid w:val="00E6406B"/>
    <w:rsid w:val="00E7302D"/>
    <w:rsid w:val="00E73FB7"/>
    <w:rsid w:val="00E834C2"/>
    <w:rsid w:val="00E87EB7"/>
    <w:rsid w:val="00E92828"/>
    <w:rsid w:val="00E92F16"/>
    <w:rsid w:val="00E978DE"/>
    <w:rsid w:val="00EA408F"/>
    <w:rsid w:val="00EB02FC"/>
    <w:rsid w:val="00EB0941"/>
    <w:rsid w:val="00EB7F7D"/>
    <w:rsid w:val="00ED3095"/>
    <w:rsid w:val="00EE737E"/>
    <w:rsid w:val="00EE7B65"/>
    <w:rsid w:val="00EF0E1C"/>
    <w:rsid w:val="00F02044"/>
    <w:rsid w:val="00F05B7F"/>
    <w:rsid w:val="00F06878"/>
    <w:rsid w:val="00F074C0"/>
    <w:rsid w:val="00F07F8A"/>
    <w:rsid w:val="00F1073F"/>
    <w:rsid w:val="00F1194C"/>
    <w:rsid w:val="00F120D5"/>
    <w:rsid w:val="00F1390E"/>
    <w:rsid w:val="00F1411E"/>
    <w:rsid w:val="00F156E8"/>
    <w:rsid w:val="00F21863"/>
    <w:rsid w:val="00F21CEA"/>
    <w:rsid w:val="00F231FF"/>
    <w:rsid w:val="00F26CDC"/>
    <w:rsid w:val="00F32EE9"/>
    <w:rsid w:val="00F35700"/>
    <w:rsid w:val="00F36E71"/>
    <w:rsid w:val="00F534F6"/>
    <w:rsid w:val="00F57891"/>
    <w:rsid w:val="00F60850"/>
    <w:rsid w:val="00F653A7"/>
    <w:rsid w:val="00F672D5"/>
    <w:rsid w:val="00F70C73"/>
    <w:rsid w:val="00F9229C"/>
    <w:rsid w:val="00FA3CAE"/>
    <w:rsid w:val="00FA4D61"/>
    <w:rsid w:val="00FA5291"/>
    <w:rsid w:val="00FB111C"/>
    <w:rsid w:val="00FB177A"/>
    <w:rsid w:val="00FB2A1F"/>
    <w:rsid w:val="00FC2543"/>
    <w:rsid w:val="00FD0E26"/>
    <w:rsid w:val="00FD19AE"/>
    <w:rsid w:val="00FD2C9B"/>
    <w:rsid w:val="00FD3056"/>
    <w:rsid w:val="00FE22E9"/>
    <w:rsid w:val="00FE5A8A"/>
    <w:rsid w:val="00FF0720"/>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link w:val="AHPRASubheadingChar"/>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 w:type="paragraph" w:customStyle="1" w:styleId="AHPRASubheadinglevel3">
    <w:name w:val="AHPRA Subheading level 3"/>
    <w:basedOn w:val="AHPRASubheading"/>
    <w:next w:val="Normal"/>
    <w:qFormat/>
    <w:rsid w:val="00F60850"/>
    <w:rPr>
      <w:b w:val="0"/>
    </w:rPr>
  </w:style>
  <w:style w:type="paragraph" w:customStyle="1" w:styleId="AHPRABulletlevel1last">
    <w:name w:val="AHPRA Bullet level 1 last"/>
    <w:basedOn w:val="AHPRABulletlevel1"/>
    <w:next w:val="Normal"/>
    <w:rsid w:val="00F60850"/>
    <w:pPr>
      <w:numPr>
        <w:numId w:val="2"/>
      </w:numPr>
      <w:spacing w:after="200"/>
      <w:ind w:left="369" w:hanging="369"/>
    </w:pPr>
  </w:style>
  <w:style w:type="character" w:customStyle="1" w:styleId="AHPRASubheadingChar">
    <w:name w:val="AHPRA Subheading Char"/>
    <w:link w:val="AHPRASubheading"/>
    <w:rsid w:val="00F60850"/>
    <w:rPr>
      <w:rFonts w:ascii="Arial" w:eastAsia="Cambria" w:hAnsi="Arial"/>
      <w:b/>
      <w:color w:val="007DC3"/>
      <w:szCs w:val="24"/>
    </w:rPr>
  </w:style>
</w:styles>
</file>

<file path=word/webSettings.xml><?xml version="1.0" encoding="utf-8"?>
<w:webSettings xmlns:r="http://schemas.openxmlformats.org/officeDocument/2006/relationships" xmlns:w="http://schemas.openxmlformats.org/wordprocessingml/2006/main">
  <w:divs>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4649">
      <w:bodyDiv w:val="1"/>
      <w:marLeft w:val="0"/>
      <w:marRight w:val="0"/>
      <w:marTop w:val="0"/>
      <w:marBottom w:val="0"/>
      <w:divBdr>
        <w:top w:val="none" w:sz="0" w:space="0" w:color="auto"/>
        <w:left w:val="none" w:sz="0" w:space="0" w:color="auto"/>
        <w:bottom w:val="none" w:sz="0" w:space="0" w:color="auto"/>
        <w:right w:val="none" w:sz="0" w:space="0" w:color="auto"/>
      </w:divBdr>
      <w:divsChild>
        <w:div w:id="1309827277">
          <w:marLeft w:val="0"/>
          <w:marRight w:val="0"/>
          <w:marTop w:val="0"/>
          <w:marBottom w:val="0"/>
          <w:divBdr>
            <w:top w:val="none" w:sz="0" w:space="0" w:color="auto"/>
            <w:left w:val="none" w:sz="0" w:space="0" w:color="auto"/>
            <w:bottom w:val="none" w:sz="0" w:space="0" w:color="auto"/>
            <w:right w:val="none" w:sz="0" w:space="0" w:color="auto"/>
          </w:divBdr>
          <w:divsChild>
            <w:div w:id="1537693320">
              <w:marLeft w:val="0"/>
              <w:marRight w:val="0"/>
              <w:marTop w:val="0"/>
              <w:marBottom w:val="0"/>
              <w:divBdr>
                <w:top w:val="none" w:sz="0" w:space="0" w:color="auto"/>
                <w:left w:val="none" w:sz="0" w:space="0" w:color="auto"/>
                <w:bottom w:val="none" w:sz="0" w:space="0" w:color="auto"/>
                <w:right w:val="none" w:sz="0" w:space="0" w:color="auto"/>
              </w:divBdr>
              <w:divsChild>
                <w:div w:id="136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629815620">
      <w:bodyDiv w:val="1"/>
      <w:marLeft w:val="0"/>
      <w:marRight w:val="0"/>
      <w:marTop w:val="0"/>
      <w:marBottom w:val="0"/>
      <w:divBdr>
        <w:top w:val="none" w:sz="0" w:space="0" w:color="auto"/>
        <w:left w:val="none" w:sz="0" w:space="0" w:color="auto"/>
        <w:bottom w:val="none" w:sz="0" w:space="0" w:color="auto"/>
        <w:right w:val="none" w:sz="0" w:space="0" w:color="auto"/>
      </w:divBdr>
      <w:divsChild>
        <w:div w:id="1422676486">
          <w:marLeft w:val="0"/>
          <w:marRight w:val="0"/>
          <w:marTop w:val="0"/>
          <w:marBottom w:val="0"/>
          <w:divBdr>
            <w:top w:val="none" w:sz="0" w:space="0" w:color="auto"/>
            <w:left w:val="none" w:sz="0" w:space="0" w:color="auto"/>
            <w:bottom w:val="none" w:sz="0" w:space="0" w:color="auto"/>
            <w:right w:val="none" w:sz="0" w:space="0" w:color="auto"/>
          </w:divBdr>
          <w:divsChild>
            <w:div w:id="495539768">
              <w:marLeft w:val="0"/>
              <w:marRight w:val="0"/>
              <w:marTop w:val="0"/>
              <w:marBottom w:val="0"/>
              <w:divBdr>
                <w:top w:val="none" w:sz="0" w:space="0" w:color="auto"/>
                <w:left w:val="none" w:sz="0" w:space="0" w:color="auto"/>
                <w:bottom w:val="none" w:sz="0" w:space="0" w:color="auto"/>
                <w:right w:val="none" w:sz="0" w:space="0" w:color="auto"/>
              </w:divBdr>
              <w:divsChild>
                <w:div w:id="1148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5805">
      <w:bodyDiv w:val="1"/>
      <w:marLeft w:val="0"/>
      <w:marRight w:val="0"/>
      <w:marTop w:val="0"/>
      <w:marBottom w:val="0"/>
      <w:divBdr>
        <w:top w:val="none" w:sz="0" w:space="0" w:color="auto"/>
        <w:left w:val="none" w:sz="0" w:space="0" w:color="auto"/>
        <w:bottom w:val="none" w:sz="0" w:space="0" w:color="auto"/>
        <w:right w:val="none" w:sz="0" w:space="0" w:color="auto"/>
      </w:divBdr>
      <w:divsChild>
        <w:div w:id="1181357427">
          <w:marLeft w:val="0"/>
          <w:marRight w:val="0"/>
          <w:marTop w:val="0"/>
          <w:marBottom w:val="0"/>
          <w:divBdr>
            <w:top w:val="none" w:sz="0" w:space="0" w:color="auto"/>
            <w:left w:val="none" w:sz="0" w:space="0" w:color="auto"/>
            <w:bottom w:val="none" w:sz="0" w:space="0" w:color="auto"/>
            <w:right w:val="none" w:sz="0" w:space="0" w:color="auto"/>
          </w:divBdr>
          <w:divsChild>
            <w:div w:id="746149242">
              <w:marLeft w:val="0"/>
              <w:marRight w:val="0"/>
              <w:marTop w:val="0"/>
              <w:marBottom w:val="0"/>
              <w:divBdr>
                <w:top w:val="none" w:sz="0" w:space="0" w:color="auto"/>
                <w:left w:val="none" w:sz="0" w:space="0" w:color="auto"/>
                <w:bottom w:val="none" w:sz="0" w:space="0" w:color="auto"/>
                <w:right w:val="none" w:sz="0" w:space="0" w:color="auto"/>
              </w:divBdr>
              <w:divsChild>
                <w:div w:id="605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teopathy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mac.gov.au/cms_documents/Consultation%20Paper%20-%20Review%20of%20the%20National%20Registration%20and%20Accreditation%20Scheme%20for%20health%20profes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News/2014-08-27-media-releas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eopathyboard.gov.au/News/2013-07-29-media-release.aspx" TargetMode="External"/><Relationship Id="rId4" Type="http://schemas.openxmlformats.org/officeDocument/2006/relationships/settings" Target="settings.xml"/><Relationship Id="rId9" Type="http://schemas.openxmlformats.org/officeDocument/2006/relationships/hyperlink" Target="http://www.osteopathyboard.gov.au/Registration/Fee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93A4-54E1-475F-9D35-7B29D0B5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5126</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- 29 August 2014</dc:title>
  <dc:subject>Communique</dc:subject>
  <dc:creator>Osteopathy Board</dc:creator>
  <cp:keywords>29 August 2014</cp:keywords>
  <cp:lastModifiedBy>Tara Johnson</cp:lastModifiedBy>
  <cp:revision>2</cp:revision>
  <cp:lastPrinted>2014-05-02T01:52:00Z</cp:lastPrinted>
  <dcterms:created xsi:type="dcterms:W3CDTF">2014-09-11T06:33:00Z</dcterms:created>
  <dcterms:modified xsi:type="dcterms:W3CDTF">2014-09-11T06:33:00Z</dcterms:modified>
</cp:coreProperties>
</file>