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E0" w:rsidRDefault="00BB76E0" w:rsidP="0066313D">
      <w:pPr>
        <w:pStyle w:val="AHPRATitle"/>
        <w:rPr>
          <w:rFonts w:eastAsia="Cambria"/>
          <w:color w:val="00BCCE"/>
          <w:sz w:val="32"/>
          <w:lang w:val="en-US"/>
        </w:rPr>
      </w:pPr>
    </w:p>
    <w:p w:rsidR="00E36229" w:rsidRPr="00E36229" w:rsidRDefault="00E36229" w:rsidP="00E36229">
      <w:pPr>
        <w:pStyle w:val="AHPRAHeadline"/>
      </w:pPr>
    </w:p>
    <w:p w:rsidR="00E36229" w:rsidRDefault="00BB76E0" w:rsidP="00E36229">
      <w:pPr>
        <w:pStyle w:val="AHPRADocumenttitle"/>
        <w:pBdr>
          <w:bottom w:val="single" w:sz="4" w:space="1" w:color="auto"/>
        </w:pBdr>
        <w:ind w:right="5340"/>
      </w:pPr>
      <w:bookmarkStart w:id="0" w:name="_Toc354073098"/>
      <w:r>
        <w:t>P</w:t>
      </w:r>
      <w:r w:rsidR="00156849">
        <w:t>ublic</w:t>
      </w:r>
      <w:r w:rsidR="00517A2F" w:rsidRPr="006B1F0D">
        <w:t xml:space="preserve"> c</w:t>
      </w:r>
      <w:r w:rsidR="0024443C" w:rsidRPr="006B1F0D">
        <w:t>onsultation</w:t>
      </w:r>
      <w:bookmarkEnd w:id="0"/>
      <w:r w:rsidR="0024443C" w:rsidRPr="006B1F0D">
        <w:t xml:space="preserve"> </w:t>
      </w:r>
    </w:p>
    <w:p w:rsidR="00487A81" w:rsidRPr="006B1F0D" w:rsidRDefault="001C33C4">
      <w:pPr>
        <w:autoSpaceDE w:val="0"/>
        <w:autoSpaceDN w:val="0"/>
        <w:adjustRightInd w:val="0"/>
        <w:spacing w:after="0" w:line="240" w:lineRule="auto"/>
        <w:rPr>
          <w:rFonts w:ascii="Arial" w:hAnsi="Arial" w:cs="Arial"/>
          <w:color w:val="000000"/>
          <w:sz w:val="20"/>
        </w:rPr>
      </w:pPr>
      <w:r>
        <w:rPr>
          <w:rFonts w:ascii="Arial" w:hAnsi="Arial" w:cs="Arial"/>
          <w:color w:val="000000"/>
          <w:sz w:val="20"/>
        </w:rPr>
        <w:t xml:space="preserve">24 </w:t>
      </w:r>
      <w:r w:rsidR="00113456">
        <w:rPr>
          <w:rFonts w:ascii="Arial" w:hAnsi="Arial" w:cs="Arial"/>
          <w:color w:val="000000"/>
          <w:sz w:val="20"/>
        </w:rPr>
        <w:t>July 2014</w:t>
      </w:r>
    </w:p>
    <w:p w:rsidR="00487A81" w:rsidRDefault="00487A81">
      <w:pPr>
        <w:autoSpaceDE w:val="0"/>
        <w:autoSpaceDN w:val="0"/>
        <w:adjustRightInd w:val="0"/>
        <w:spacing w:after="0" w:line="240" w:lineRule="auto"/>
        <w:rPr>
          <w:rFonts w:ascii="Arial" w:hAnsi="Arial" w:cs="Arial"/>
          <w:b/>
          <w:color w:val="000000"/>
        </w:rPr>
      </w:pPr>
    </w:p>
    <w:p w:rsidR="00CD1755" w:rsidRPr="006B1F0D" w:rsidRDefault="00CD1755" w:rsidP="00CD1755">
      <w:pPr>
        <w:pStyle w:val="AHPRADocumentsubheading"/>
      </w:pPr>
      <w:bookmarkStart w:id="1" w:name="OLE_LINK1"/>
      <w:bookmarkStart w:id="2" w:name="OLE_LINK2"/>
      <w:r w:rsidRPr="006B1F0D">
        <w:t xml:space="preserve">Guidelines for the </w:t>
      </w:r>
      <w:r w:rsidR="003A2BF1">
        <w:t xml:space="preserve">regulatory </w:t>
      </w:r>
      <w:r w:rsidRPr="006B1F0D">
        <w:t>management of registered health practitioners and</w:t>
      </w:r>
      <w:r w:rsidRPr="003A0A64">
        <w:t xml:space="preserve"> </w:t>
      </w:r>
      <w:r w:rsidRPr="006B1F0D">
        <w:t xml:space="preserve">students infected with blood-borne viruses </w:t>
      </w:r>
    </w:p>
    <w:bookmarkEnd w:id="1"/>
    <w:bookmarkEnd w:id="2"/>
    <w:p w:rsidR="00487A81" w:rsidRDefault="008A6691">
      <w:pPr>
        <w:pStyle w:val="AHPRAbody"/>
        <w:spacing w:line="276" w:lineRule="auto"/>
        <w:ind w:right="334"/>
        <w:rPr>
          <w:b/>
        </w:rPr>
      </w:pPr>
      <w:r w:rsidRPr="00DE4C79">
        <w:rPr>
          <w:b/>
        </w:rPr>
        <w:t xml:space="preserve">Please provide feedback by email to </w:t>
      </w:r>
      <w:hyperlink r:id="rId8" w:history="1">
        <w:r w:rsidR="00D64BC4" w:rsidRPr="00400515">
          <w:rPr>
            <w:rStyle w:val="Hyperlink"/>
            <w:rFonts w:cs="Arial"/>
            <w:b/>
          </w:rPr>
          <w:t>guid</w:t>
        </w:r>
        <w:r w:rsidR="007F69C7">
          <w:rPr>
            <w:rStyle w:val="Hyperlink"/>
            <w:rFonts w:cs="Arial"/>
            <w:b/>
          </w:rPr>
          <w:t>elinesconsultation@ahpra.gov.au</w:t>
        </w:r>
      </w:hyperlink>
      <w:r w:rsidR="00CD1755">
        <w:rPr>
          <w:b/>
        </w:rPr>
        <w:t xml:space="preserve"> </w:t>
      </w:r>
      <w:r w:rsidRPr="00DE4C79">
        <w:rPr>
          <w:b/>
        </w:rPr>
        <w:t>by close of business on</w:t>
      </w:r>
      <w:r w:rsidR="00E12FC1">
        <w:rPr>
          <w:b/>
        </w:rPr>
        <w:t xml:space="preserve"> </w:t>
      </w:r>
      <w:r w:rsidR="001C33C4">
        <w:rPr>
          <w:b/>
        </w:rPr>
        <w:t xml:space="preserve">26 </w:t>
      </w:r>
      <w:r w:rsidR="00E12FC1">
        <w:rPr>
          <w:b/>
        </w:rPr>
        <w:t>September 2014.</w:t>
      </w:r>
      <w:r w:rsidRPr="00DE4C79">
        <w:rPr>
          <w:b/>
        </w:rPr>
        <w:t xml:space="preserve"> </w:t>
      </w:r>
    </w:p>
    <w:p w:rsidR="008A6691" w:rsidRPr="00DE4C79" w:rsidRDefault="00156849" w:rsidP="0066313D">
      <w:pPr>
        <w:pStyle w:val="AHPRAHeadline"/>
        <w:spacing w:before="200"/>
        <w:rPr>
          <w:rFonts w:cs="Arial"/>
          <w:b/>
          <w:szCs w:val="20"/>
        </w:rPr>
      </w:pPr>
      <w:r>
        <w:rPr>
          <w:rFonts w:cs="Arial"/>
          <w:b/>
          <w:sz w:val="20"/>
          <w:szCs w:val="20"/>
        </w:rPr>
        <w:t>Public</w:t>
      </w:r>
      <w:r w:rsidR="008A6691" w:rsidRPr="00DE4C79">
        <w:rPr>
          <w:rFonts w:cs="Arial"/>
          <w:b/>
          <w:sz w:val="20"/>
          <w:szCs w:val="20"/>
        </w:rPr>
        <w:t xml:space="preserve"> consultation</w:t>
      </w:r>
    </w:p>
    <w:p w:rsidR="00487A81" w:rsidRDefault="008A6691">
      <w:pPr>
        <w:pStyle w:val="AHPRAbody"/>
        <w:spacing w:before="200"/>
      </w:pPr>
      <w:r w:rsidRPr="00DE4C79">
        <w:t xml:space="preserve">The 14 National Boards in the National Registration and Accreditation Scheme (the National Scheme) are releasing </w:t>
      </w:r>
      <w:r w:rsidR="00D608ED">
        <w:t xml:space="preserve">for public consultation </w:t>
      </w:r>
      <w:r w:rsidRPr="00DE4C79">
        <w:t xml:space="preserve">the attached </w:t>
      </w:r>
      <w:r w:rsidR="00156849">
        <w:t xml:space="preserve">draft </w:t>
      </w:r>
      <w:r w:rsidR="0082649E" w:rsidRPr="00156849">
        <w:rPr>
          <w:bCs/>
        </w:rPr>
        <w:t>guidelines</w:t>
      </w:r>
      <w:r w:rsidR="002E1CC7">
        <w:rPr>
          <w:bCs/>
        </w:rPr>
        <w:t xml:space="preserve"> on the regulatory management of registered health practitioners and students infected with blood-borne viruses</w:t>
      </w:r>
      <w:r w:rsidR="00D608ED">
        <w:rPr>
          <w:bCs/>
        </w:rPr>
        <w:t xml:space="preserve">. </w:t>
      </w:r>
      <w:r w:rsidRPr="00DE4C79">
        <w:t xml:space="preserve"> </w:t>
      </w:r>
    </w:p>
    <w:p w:rsidR="003A2BF1" w:rsidRPr="009D5E19" w:rsidRDefault="003A2BF1" w:rsidP="003A2BF1">
      <w:pPr>
        <w:pStyle w:val="Default"/>
        <w:spacing w:after="200"/>
        <w:rPr>
          <w:rFonts w:ascii="Arial" w:eastAsia="Cambria" w:hAnsi="Arial" w:cs="Arial"/>
          <w:color w:val="auto"/>
          <w:sz w:val="20"/>
          <w:lang w:eastAsia="en-US"/>
        </w:rPr>
      </w:pPr>
      <w:r w:rsidRPr="009D5E19">
        <w:rPr>
          <w:rFonts w:ascii="Arial" w:eastAsia="Cambria" w:hAnsi="Arial" w:cs="Arial"/>
          <w:color w:val="auto"/>
          <w:sz w:val="20"/>
          <w:lang w:eastAsia="en-US"/>
        </w:rPr>
        <w:t xml:space="preserve">The National Law requires the </w:t>
      </w:r>
      <w:r w:rsidR="0067326B">
        <w:rPr>
          <w:rFonts w:ascii="Arial" w:eastAsia="Cambria" w:hAnsi="Arial" w:cs="Arial"/>
          <w:color w:val="auto"/>
          <w:sz w:val="20"/>
          <w:lang w:eastAsia="en-US"/>
        </w:rPr>
        <w:t xml:space="preserve">National </w:t>
      </w:r>
      <w:r w:rsidRPr="009D5E19">
        <w:rPr>
          <w:rFonts w:ascii="Arial" w:eastAsia="Cambria" w:hAnsi="Arial" w:cs="Arial"/>
          <w:color w:val="auto"/>
          <w:sz w:val="20"/>
          <w:lang w:eastAsia="en-US"/>
        </w:rPr>
        <w:t xml:space="preserve">Boards to ensure there is wide-ranging consultation on the content of any proposed code or guideline.  </w:t>
      </w:r>
    </w:p>
    <w:p w:rsidR="003A2BF1" w:rsidRPr="009D5E19" w:rsidRDefault="003A2BF1" w:rsidP="003A2BF1">
      <w:pPr>
        <w:pStyle w:val="Default"/>
        <w:rPr>
          <w:rFonts w:ascii="Arial" w:eastAsia="Cambria" w:hAnsi="Arial" w:cs="Arial"/>
          <w:color w:val="auto"/>
          <w:sz w:val="20"/>
          <w:lang w:eastAsia="en-US"/>
        </w:rPr>
      </w:pPr>
      <w:r w:rsidRPr="009D5E19">
        <w:rPr>
          <w:rFonts w:ascii="Arial" w:eastAsia="Cambria" w:hAnsi="Arial" w:cs="Arial"/>
          <w:color w:val="auto"/>
          <w:sz w:val="20"/>
          <w:lang w:eastAsia="en-US"/>
        </w:rPr>
        <w:t xml:space="preserve">The </w:t>
      </w:r>
      <w:r w:rsidR="0067326B">
        <w:rPr>
          <w:rFonts w:ascii="Arial" w:eastAsia="Cambria" w:hAnsi="Arial" w:cs="Arial"/>
          <w:color w:val="auto"/>
          <w:sz w:val="20"/>
          <w:lang w:eastAsia="en-US"/>
        </w:rPr>
        <w:t xml:space="preserve">National </w:t>
      </w:r>
      <w:r w:rsidRPr="009D5E19">
        <w:rPr>
          <w:rFonts w:ascii="Arial" w:eastAsia="Cambria" w:hAnsi="Arial" w:cs="Arial"/>
          <w:color w:val="auto"/>
          <w:sz w:val="20"/>
          <w:lang w:eastAsia="en-US"/>
        </w:rPr>
        <w:t>Boar</w:t>
      </w:r>
      <w:r w:rsidR="00C4402E">
        <w:rPr>
          <w:rFonts w:ascii="Arial" w:eastAsia="Cambria" w:hAnsi="Arial" w:cs="Arial"/>
          <w:color w:val="auto"/>
          <w:sz w:val="20"/>
          <w:lang w:eastAsia="en-US"/>
        </w:rPr>
        <w:t>d</w:t>
      </w:r>
      <w:r w:rsidR="00996D18">
        <w:rPr>
          <w:rFonts w:ascii="Arial" w:eastAsia="Cambria" w:hAnsi="Arial" w:cs="Arial"/>
          <w:color w:val="auto"/>
          <w:sz w:val="20"/>
          <w:lang w:eastAsia="en-US"/>
        </w:rPr>
        <w:t xml:space="preserve">s are </w:t>
      </w:r>
      <w:r w:rsidR="00C4402E">
        <w:rPr>
          <w:rFonts w:ascii="Arial" w:eastAsia="Cambria" w:hAnsi="Arial" w:cs="Arial"/>
          <w:color w:val="auto"/>
          <w:sz w:val="20"/>
          <w:lang w:eastAsia="en-US"/>
        </w:rPr>
        <w:t>now seeking feedback on the draft guidelines</w:t>
      </w:r>
      <w:r w:rsidRPr="009D5E19">
        <w:rPr>
          <w:rFonts w:ascii="Arial" w:eastAsia="Cambria" w:hAnsi="Arial" w:cs="Arial"/>
          <w:color w:val="auto"/>
          <w:sz w:val="20"/>
          <w:lang w:eastAsia="en-US"/>
        </w:rPr>
        <w:t xml:space="preserve"> and </w:t>
      </w:r>
      <w:r w:rsidR="0067326B">
        <w:rPr>
          <w:rFonts w:ascii="Arial" w:eastAsia="Cambria" w:hAnsi="Arial" w:cs="Arial"/>
          <w:color w:val="auto"/>
          <w:sz w:val="20"/>
          <w:lang w:eastAsia="en-US"/>
        </w:rPr>
        <w:t>are</w:t>
      </w:r>
      <w:r w:rsidR="0067326B" w:rsidRPr="009D5E19">
        <w:rPr>
          <w:rFonts w:ascii="Arial" w:eastAsia="Cambria" w:hAnsi="Arial" w:cs="Arial"/>
          <w:color w:val="auto"/>
          <w:sz w:val="20"/>
          <w:lang w:eastAsia="en-US"/>
        </w:rPr>
        <w:t xml:space="preserve"> </w:t>
      </w:r>
      <w:r w:rsidRPr="009D5E19">
        <w:rPr>
          <w:rFonts w:ascii="Arial" w:eastAsia="Cambria" w:hAnsi="Arial" w:cs="Arial"/>
          <w:color w:val="auto"/>
          <w:sz w:val="20"/>
          <w:lang w:eastAsia="en-US"/>
        </w:rPr>
        <w:t xml:space="preserve">interested in comments from stakeholders. </w:t>
      </w:r>
    </w:p>
    <w:p w:rsidR="003A2BF1" w:rsidRPr="009D5E19" w:rsidRDefault="003A2BF1" w:rsidP="003A2BF1">
      <w:pPr>
        <w:pStyle w:val="Default"/>
        <w:rPr>
          <w:rFonts w:ascii="Arial" w:eastAsia="Cambria" w:hAnsi="Arial" w:cs="Arial"/>
          <w:color w:val="auto"/>
          <w:sz w:val="20"/>
          <w:lang w:eastAsia="en-US"/>
        </w:rPr>
      </w:pPr>
    </w:p>
    <w:p w:rsidR="003A2BF1" w:rsidRPr="009D5E19" w:rsidRDefault="003A2BF1" w:rsidP="003A2BF1">
      <w:pPr>
        <w:pStyle w:val="Default"/>
        <w:rPr>
          <w:rFonts w:ascii="Arial" w:eastAsia="Cambria" w:hAnsi="Arial" w:cs="Arial"/>
          <w:color w:val="auto"/>
          <w:sz w:val="20"/>
          <w:lang w:eastAsia="en-US"/>
        </w:rPr>
      </w:pPr>
      <w:r w:rsidRPr="009D5E19">
        <w:rPr>
          <w:rFonts w:ascii="Arial" w:eastAsia="Cambria" w:hAnsi="Arial" w:cs="Arial"/>
          <w:color w:val="auto"/>
          <w:sz w:val="20"/>
          <w:lang w:eastAsia="en-US"/>
        </w:rPr>
        <w:t xml:space="preserve">The </w:t>
      </w:r>
      <w:r w:rsidR="009D6085">
        <w:rPr>
          <w:rFonts w:ascii="Arial" w:eastAsia="Cambria" w:hAnsi="Arial" w:cs="Arial"/>
          <w:color w:val="auto"/>
          <w:sz w:val="20"/>
          <w:lang w:eastAsia="en-US"/>
        </w:rPr>
        <w:t xml:space="preserve">National </w:t>
      </w:r>
      <w:r w:rsidRPr="009D5E19">
        <w:rPr>
          <w:rFonts w:ascii="Arial" w:eastAsia="Cambria" w:hAnsi="Arial" w:cs="Arial"/>
          <w:color w:val="auto"/>
          <w:sz w:val="20"/>
          <w:lang w:eastAsia="en-US"/>
        </w:rPr>
        <w:t>Board</w:t>
      </w:r>
      <w:r w:rsidR="00996D18">
        <w:rPr>
          <w:rFonts w:ascii="Arial" w:eastAsia="Cambria" w:hAnsi="Arial" w:cs="Arial"/>
          <w:color w:val="auto"/>
          <w:sz w:val="20"/>
          <w:lang w:eastAsia="en-US"/>
        </w:rPr>
        <w:t>s are</w:t>
      </w:r>
      <w:r w:rsidRPr="009D5E19">
        <w:rPr>
          <w:rFonts w:ascii="Arial" w:eastAsia="Cambria" w:hAnsi="Arial" w:cs="Arial"/>
          <w:color w:val="auto"/>
          <w:sz w:val="20"/>
          <w:lang w:eastAsia="en-US"/>
        </w:rPr>
        <w:t xml:space="preserve"> seeking general feedback on the proposed guidelines for the </w:t>
      </w:r>
      <w:r w:rsidR="00905813">
        <w:rPr>
          <w:rFonts w:ascii="Arial" w:eastAsia="Cambria" w:hAnsi="Arial" w:cs="Arial"/>
          <w:color w:val="auto"/>
          <w:sz w:val="20"/>
          <w:lang w:eastAsia="en-US"/>
        </w:rPr>
        <w:t xml:space="preserve">regulatory </w:t>
      </w:r>
      <w:r w:rsidRPr="009D5E19">
        <w:rPr>
          <w:rFonts w:ascii="Arial" w:eastAsia="Cambria" w:hAnsi="Arial" w:cs="Arial"/>
          <w:color w:val="auto"/>
          <w:sz w:val="20"/>
          <w:lang w:eastAsia="en-US"/>
        </w:rPr>
        <w:t>management of registered health practitioners an</w:t>
      </w:r>
      <w:r w:rsidR="00B57DF9">
        <w:rPr>
          <w:rFonts w:ascii="Arial" w:eastAsia="Cambria" w:hAnsi="Arial" w:cs="Arial"/>
          <w:color w:val="auto"/>
          <w:sz w:val="20"/>
          <w:lang w:eastAsia="en-US"/>
        </w:rPr>
        <w:t>d</w:t>
      </w:r>
      <w:r w:rsidRPr="009D5E19">
        <w:rPr>
          <w:rFonts w:ascii="Arial" w:eastAsia="Cambria" w:hAnsi="Arial" w:cs="Arial"/>
          <w:color w:val="auto"/>
          <w:sz w:val="20"/>
          <w:lang w:eastAsia="en-US"/>
        </w:rPr>
        <w:t xml:space="preserve"> students infected with blood-borne viruses, as well as on the following questions: </w:t>
      </w:r>
    </w:p>
    <w:p w:rsidR="003A2BF1" w:rsidRPr="009D5E19" w:rsidRDefault="003A2BF1" w:rsidP="003A2BF1">
      <w:pPr>
        <w:pStyle w:val="Default"/>
        <w:rPr>
          <w:rFonts w:ascii="Arial" w:eastAsia="Cambria" w:hAnsi="Arial" w:cs="Arial"/>
          <w:color w:val="auto"/>
          <w:sz w:val="20"/>
          <w:lang w:eastAsia="en-US"/>
        </w:rPr>
      </w:pPr>
    </w:p>
    <w:p w:rsidR="0030647E" w:rsidRDefault="00877CBF">
      <w:pPr>
        <w:pStyle w:val="Default"/>
        <w:numPr>
          <w:ilvl w:val="0"/>
          <w:numId w:val="7"/>
        </w:numPr>
        <w:rPr>
          <w:rFonts w:ascii="Arial" w:eastAsia="Cambria" w:hAnsi="Arial" w:cs="Arial"/>
          <w:color w:val="auto"/>
          <w:sz w:val="20"/>
          <w:lang w:eastAsia="en-US"/>
        </w:rPr>
      </w:pPr>
      <w:r w:rsidRPr="00164A23">
        <w:rPr>
          <w:rFonts w:ascii="Arial" w:eastAsia="Cambria" w:hAnsi="Arial" w:cs="Arial"/>
          <w:color w:val="auto"/>
          <w:sz w:val="20"/>
          <w:lang w:eastAsia="en-US"/>
        </w:rPr>
        <w:t xml:space="preserve">Is a guideline necessary? </w:t>
      </w:r>
    </w:p>
    <w:p w:rsidR="00164A23" w:rsidRPr="00164A23" w:rsidRDefault="00164A23" w:rsidP="00164A23">
      <w:pPr>
        <w:pStyle w:val="Default"/>
        <w:rPr>
          <w:rFonts w:ascii="Arial" w:eastAsia="Cambria" w:hAnsi="Arial" w:cs="Arial"/>
          <w:color w:val="auto"/>
          <w:sz w:val="20"/>
          <w:lang w:eastAsia="en-US"/>
        </w:rPr>
      </w:pPr>
    </w:p>
    <w:p w:rsidR="00877CBF" w:rsidRDefault="00877CBF" w:rsidP="00877CBF">
      <w:pPr>
        <w:pStyle w:val="Default"/>
        <w:numPr>
          <w:ilvl w:val="0"/>
          <w:numId w:val="7"/>
        </w:numPr>
        <w:rPr>
          <w:rFonts w:ascii="Arial" w:eastAsia="Cambria" w:hAnsi="Arial" w:cs="Arial"/>
          <w:color w:val="auto"/>
          <w:sz w:val="20"/>
          <w:lang w:eastAsia="en-US"/>
        </w:rPr>
      </w:pPr>
      <w:r w:rsidRPr="00E66607">
        <w:rPr>
          <w:rFonts w:ascii="Arial" w:eastAsia="Cambria" w:hAnsi="Arial" w:cs="Arial"/>
          <w:color w:val="auto"/>
          <w:sz w:val="20"/>
          <w:lang w:eastAsia="en-US"/>
        </w:rPr>
        <w:t>Is the content of the guideline helpful, clear and relevant</w:t>
      </w:r>
      <w:r>
        <w:rPr>
          <w:rFonts w:ascii="Arial" w:eastAsia="Cambria" w:hAnsi="Arial" w:cs="Arial"/>
          <w:color w:val="auto"/>
          <w:sz w:val="20"/>
          <w:lang w:eastAsia="en-US"/>
        </w:rPr>
        <w:t>?</w:t>
      </w:r>
    </w:p>
    <w:p w:rsidR="0030647E" w:rsidRDefault="0030647E">
      <w:pPr>
        <w:pStyle w:val="Default"/>
        <w:rPr>
          <w:rFonts w:ascii="Arial" w:eastAsia="Cambria" w:hAnsi="Arial" w:cs="Arial"/>
          <w:color w:val="auto"/>
          <w:sz w:val="20"/>
          <w:lang w:eastAsia="en-US"/>
        </w:rPr>
      </w:pPr>
    </w:p>
    <w:p w:rsidR="00877CBF" w:rsidRDefault="00877CBF" w:rsidP="00877CBF">
      <w:pPr>
        <w:pStyle w:val="Default"/>
        <w:numPr>
          <w:ilvl w:val="0"/>
          <w:numId w:val="7"/>
        </w:numPr>
        <w:rPr>
          <w:rFonts w:ascii="Arial" w:eastAsia="Cambria" w:hAnsi="Arial" w:cs="Arial"/>
          <w:color w:val="auto"/>
          <w:sz w:val="20"/>
          <w:lang w:eastAsia="en-US"/>
        </w:rPr>
      </w:pPr>
      <w:r w:rsidRPr="00E66607">
        <w:rPr>
          <w:rFonts w:ascii="Arial" w:eastAsia="Cambria" w:hAnsi="Arial" w:cs="Arial"/>
          <w:color w:val="auto"/>
          <w:sz w:val="20"/>
          <w:lang w:eastAsia="en-US"/>
        </w:rPr>
        <w:t>Is there any content that needs to be changed, added or deleted in the guideline</w:t>
      </w:r>
      <w:r>
        <w:rPr>
          <w:rFonts w:ascii="Arial" w:eastAsia="Cambria" w:hAnsi="Arial" w:cs="Arial"/>
          <w:color w:val="auto"/>
          <w:sz w:val="20"/>
          <w:lang w:eastAsia="en-US"/>
        </w:rPr>
        <w:t>?</w:t>
      </w:r>
    </w:p>
    <w:p w:rsidR="00877CBF" w:rsidRDefault="00877CBF" w:rsidP="00877CBF">
      <w:pPr>
        <w:pStyle w:val="Default"/>
        <w:rPr>
          <w:rFonts w:ascii="Arial" w:eastAsia="Cambria" w:hAnsi="Arial" w:cs="Arial"/>
          <w:color w:val="auto"/>
          <w:sz w:val="20"/>
          <w:lang w:eastAsia="en-US"/>
        </w:rPr>
      </w:pPr>
    </w:p>
    <w:p w:rsidR="00877CBF" w:rsidRPr="00166CC1" w:rsidRDefault="00877CBF" w:rsidP="00877CBF">
      <w:pPr>
        <w:pStyle w:val="Default"/>
        <w:numPr>
          <w:ilvl w:val="0"/>
          <w:numId w:val="7"/>
        </w:numPr>
        <w:rPr>
          <w:rFonts w:ascii="Arial" w:eastAsia="Cambria" w:hAnsi="Arial" w:cs="Arial"/>
          <w:color w:val="auto"/>
          <w:sz w:val="20"/>
          <w:lang w:eastAsia="en-US"/>
        </w:rPr>
      </w:pPr>
      <w:r w:rsidRPr="00166CC1">
        <w:rPr>
          <w:rFonts w:ascii="Arial" w:eastAsia="Cambria" w:hAnsi="Arial" w:cs="Arial"/>
          <w:color w:val="auto"/>
          <w:sz w:val="20"/>
          <w:lang w:eastAsia="en-US"/>
        </w:rPr>
        <w:t xml:space="preserve">Do you agree with the proposal that Boards expect registered health practitioners to comply with </w:t>
      </w:r>
      <w:r w:rsidR="00D608ED" w:rsidRPr="00166CC1">
        <w:rPr>
          <w:rFonts w:ascii="Arial" w:eastAsia="Cambria" w:hAnsi="Arial" w:cs="Arial"/>
          <w:color w:val="auto"/>
          <w:sz w:val="20"/>
          <w:lang w:eastAsia="en-US"/>
        </w:rPr>
        <w:t>CDNA</w:t>
      </w:r>
      <w:r w:rsidRPr="00166CC1">
        <w:rPr>
          <w:rFonts w:ascii="Arial" w:eastAsia="Cambria" w:hAnsi="Arial" w:cs="Arial"/>
          <w:color w:val="auto"/>
          <w:sz w:val="20"/>
          <w:lang w:eastAsia="en-US"/>
        </w:rPr>
        <w:t xml:space="preserve"> guidelines for the management of health practitioners infected with a blood-borne virus? That includes following advice on their scope of practice based on the </w:t>
      </w:r>
      <w:r w:rsidR="00D608ED" w:rsidRPr="00166CC1">
        <w:rPr>
          <w:rFonts w:ascii="Arial" w:eastAsia="Cambria" w:hAnsi="Arial" w:cs="Arial"/>
          <w:color w:val="auto"/>
          <w:sz w:val="20"/>
          <w:lang w:eastAsia="en-US"/>
        </w:rPr>
        <w:t>CDNA</w:t>
      </w:r>
      <w:r w:rsidRPr="00166CC1">
        <w:rPr>
          <w:rFonts w:ascii="Arial" w:eastAsia="Cambria" w:hAnsi="Arial" w:cs="Arial"/>
          <w:color w:val="auto"/>
          <w:sz w:val="20"/>
          <w:lang w:eastAsia="en-US"/>
        </w:rPr>
        <w:t xml:space="preserve"> guidelines.</w:t>
      </w:r>
    </w:p>
    <w:p w:rsidR="0030647E" w:rsidRDefault="0030647E">
      <w:pPr>
        <w:pStyle w:val="Default"/>
        <w:rPr>
          <w:rFonts w:ascii="Arial" w:eastAsia="Cambria" w:hAnsi="Arial" w:cs="Arial"/>
          <w:color w:val="auto"/>
          <w:sz w:val="20"/>
          <w:lang w:eastAsia="en-US"/>
        </w:rPr>
      </w:pPr>
    </w:p>
    <w:p w:rsidR="00877CBF" w:rsidRPr="002A02E6" w:rsidRDefault="00877CBF" w:rsidP="00877CBF">
      <w:pPr>
        <w:pStyle w:val="Default"/>
        <w:numPr>
          <w:ilvl w:val="0"/>
          <w:numId w:val="7"/>
        </w:numPr>
        <w:rPr>
          <w:rFonts w:ascii="Arial" w:eastAsia="Cambria" w:hAnsi="Arial" w:cs="Arial"/>
          <w:color w:val="auto"/>
          <w:sz w:val="20"/>
          <w:lang w:eastAsia="en-US"/>
        </w:rPr>
      </w:pPr>
      <w:r w:rsidRPr="00E66607">
        <w:rPr>
          <w:rFonts w:ascii="Arial" w:hAnsi="Arial"/>
          <w:sz w:val="20"/>
        </w:rPr>
        <w:t xml:space="preserve">Do you believe that there is any conflict between these guidelines and any other guidelines for the management of practitioners infected with a blood-borne virus? Is there any conflict with any obligations that may arise in the workplace? </w:t>
      </w:r>
    </w:p>
    <w:p w:rsidR="0030647E" w:rsidRDefault="0030647E">
      <w:pPr>
        <w:pStyle w:val="Default"/>
        <w:rPr>
          <w:rFonts w:ascii="Arial" w:eastAsia="Cambria" w:hAnsi="Arial" w:cs="Arial"/>
          <w:color w:val="auto"/>
          <w:sz w:val="20"/>
          <w:lang w:eastAsia="en-US"/>
        </w:rPr>
      </w:pPr>
    </w:p>
    <w:p w:rsidR="00877CBF" w:rsidRPr="00E66607" w:rsidRDefault="00877CBF" w:rsidP="00877CBF">
      <w:pPr>
        <w:pStyle w:val="Default"/>
        <w:numPr>
          <w:ilvl w:val="0"/>
          <w:numId w:val="7"/>
        </w:numPr>
        <w:rPr>
          <w:rFonts w:ascii="Arial" w:eastAsia="Cambria" w:hAnsi="Arial" w:cs="Arial"/>
          <w:color w:val="auto"/>
          <w:sz w:val="20"/>
          <w:lang w:eastAsia="en-US"/>
        </w:rPr>
      </w:pPr>
      <w:r w:rsidRPr="00E66607">
        <w:rPr>
          <w:rFonts w:ascii="Arial" w:eastAsia="Cambria" w:hAnsi="Arial" w:cs="Arial"/>
          <w:color w:val="auto"/>
          <w:sz w:val="20"/>
          <w:lang w:eastAsia="en-US"/>
        </w:rPr>
        <w:t>Is it reasonable and appropriate for the Board to take regulatory action only if a practitioner who is infected with a blood-borne virus is placing the public at risk?</w:t>
      </w:r>
    </w:p>
    <w:p w:rsidR="0030647E" w:rsidRDefault="0030647E">
      <w:pPr>
        <w:pStyle w:val="Default"/>
        <w:rPr>
          <w:rFonts w:ascii="Arial" w:eastAsia="Cambria" w:hAnsi="Arial" w:cs="Arial"/>
          <w:color w:val="auto"/>
          <w:sz w:val="20"/>
          <w:lang w:eastAsia="en-US"/>
        </w:rPr>
      </w:pPr>
    </w:p>
    <w:p w:rsidR="00877CBF" w:rsidRPr="00E66607" w:rsidRDefault="00877CBF" w:rsidP="00877CBF">
      <w:pPr>
        <w:pStyle w:val="Default"/>
        <w:numPr>
          <w:ilvl w:val="0"/>
          <w:numId w:val="7"/>
        </w:numPr>
        <w:rPr>
          <w:rFonts w:ascii="Arial" w:eastAsia="Cambria" w:hAnsi="Arial" w:cs="Arial"/>
          <w:color w:val="auto"/>
          <w:sz w:val="20"/>
          <w:lang w:eastAsia="en-US"/>
        </w:rPr>
      </w:pPr>
      <w:r w:rsidRPr="00E66607">
        <w:rPr>
          <w:rFonts w:ascii="Arial" w:eastAsia="Cambria" w:hAnsi="Arial" w:cs="Arial"/>
          <w:color w:val="auto"/>
          <w:sz w:val="20"/>
          <w:lang w:eastAsia="en-US"/>
        </w:rPr>
        <w:t xml:space="preserve">Do you have any other comments on the guideline? </w:t>
      </w:r>
    </w:p>
    <w:p w:rsidR="00164A23" w:rsidRDefault="0035678B" w:rsidP="003A2BF1">
      <w:pPr>
        <w:pStyle w:val="Default"/>
        <w:rPr>
          <w:rFonts w:ascii="Arial" w:eastAsia="Cambria" w:hAnsi="Arial" w:cs="Arial"/>
          <w:color w:val="auto"/>
          <w:sz w:val="20"/>
          <w:lang w:eastAsia="en-US"/>
        </w:rPr>
      </w:pPr>
      <w:r w:rsidRPr="0035678B">
        <w:rPr>
          <w:rFonts w:ascii="Arial" w:eastAsia="Cambria" w:hAnsi="Arial" w:cs="Arial"/>
          <w:noProof/>
          <w:sz w:val="20"/>
          <w:lang w:val="en-US"/>
        </w:rPr>
        <w:pict>
          <v:shapetype id="_x0000_t202" coordsize="21600,21600" o:spt="202" path="m,l,21600r21600,l21600,xe">
            <v:stroke joinstyle="miter"/>
            <v:path gradientshapeok="t" o:connecttype="rect"/>
          </v:shapetype>
          <v:shape id="Text Box 2" o:spid="_x0000_s1026" type="#_x0000_t202" style="position:absolute;margin-left:0;margin-top:8.85pt;width:467.6pt;height:8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">
            <v:textbox>
              <w:txbxContent>
                <w:p w:rsidR="005E5FE8" w:rsidRPr="00877CBF" w:rsidRDefault="005E5FE8" w:rsidP="003A2BF1">
                  <w:pPr>
                    <w:pStyle w:val="Default"/>
                    <w:rPr>
                      <w:rFonts w:ascii="Arial" w:eastAsia="Cambria" w:hAnsi="Arial" w:cs="Arial"/>
                      <w:color w:val="auto"/>
                      <w:sz w:val="20"/>
                      <w:lang w:eastAsia="en-US"/>
                    </w:rPr>
                  </w:pPr>
                  <w:r w:rsidRPr="000A3880">
                    <w:rPr>
                      <w:rFonts w:ascii="Arial" w:eastAsia="Cambria" w:hAnsi="Arial" w:cs="Arial"/>
                      <w:color w:val="auto"/>
                      <w:sz w:val="20"/>
                      <w:lang w:eastAsia="en-US"/>
                    </w:rPr>
                    <w:t xml:space="preserve">Please provide written submissions by email, marked ‘Consultation – Guidelines for the regulatory management of registered health practitioners and students infected with blood-borne viruses’ to </w:t>
                  </w:r>
                  <w:hyperlink r:id="rId9" w:history="1">
                    <w:r w:rsidRPr="000A3880">
                      <w:rPr>
                        <w:rFonts w:ascii="Arial" w:eastAsia="Cambria" w:hAnsi="Arial"/>
                        <w:color w:val="auto"/>
                        <w:sz w:val="20"/>
                        <w:lang w:eastAsia="en-US"/>
                      </w:rPr>
                      <w:t>guidelinesconsultation@ahpra.gov.au</w:t>
                    </w:r>
                  </w:hyperlink>
                  <w:r w:rsidRPr="000A3880">
                    <w:rPr>
                      <w:rFonts w:ascii="Arial" w:eastAsia="Cambria" w:hAnsi="Arial" w:cs="Arial"/>
                      <w:color w:val="auto"/>
                      <w:sz w:val="20"/>
                      <w:lang w:eastAsia="en-US"/>
                    </w:rPr>
                    <w:t xml:space="preserve"> by close of business</w:t>
                  </w:r>
                  <w:r>
                    <w:rPr>
                      <w:rFonts w:ascii="Arial" w:eastAsia="Cambria" w:hAnsi="Arial" w:cs="Arial"/>
                      <w:color w:val="auto"/>
                      <w:sz w:val="20"/>
                      <w:lang w:eastAsia="en-US"/>
                    </w:rPr>
                    <w:t xml:space="preserve"> 26 September 2014.</w:t>
                  </w:r>
                  <w:r w:rsidRPr="000A3880">
                    <w:rPr>
                      <w:rFonts w:ascii="Arial" w:eastAsia="Cambria" w:hAnsi="Arial" w:cs="Arial"/>
                      <w:color w:val="auto"/>
                      <w:sz w:val="20"/>
                      <w:lang w:eastAsia="en-US"/>
                    </w:rPr>
                    <w:t xml:space="preserve"> </w:t>
                  </w:r>
                </w:p>
                <w:p w:rsidR="005E5FE8" w:rsidRPr="00877CBF" w:rsidRDefault="005E5FE8" w:rsidP="003A2BF1">
                  <w:pPr>
                    <w:pStyle w:val="Default"/>
                    <w:rPr>
                      <w:rFonts w:ascii="Arial" w:eastAsia="Cambria" w:hAnsi="Arial" w:cs="Arial"/>
                      <w:color w:val="auto"/>
                      <w:sz w:val="20"/>
                      <w:lang w:eastAsia="en-US"/>
                    </w:rPr>
                  </w:pPr>
                </w:p>
                <w:p w:rsidR="005E5FE8" w:rsidRPr="00877CBF" w:rsidRDefault="005E5FE8" w:rsidP="003A2BF1">
                  <w:pPr>
                    <w:pStyle w:val="Default"/>
                    <w:rPr>
                      <w:rFonts w:ascii="Arial" w:eastAsia="Cambria" w:hAnsi="Arial" w:cs="Arial"/>
                      <w:color w:val="auto"/>
                      <w:sz w:val="20"/>
                      <w:lang w:eastAsia="en-US"/>
                    </w:rPr>
                  </w:pPr>
                  <w:r>
                    <w:rPr>
                      <w:rFonts w:ascii="Arial" w:eastAsia="Cambria" w:hAnsi="Arial" w:cs="Arial"/>
                      <w:color w:val="auto"/>
                      <w:sz w:val="20"/>
                      <w:lang w:eastAsia="en-US"/>
                    </w:rPr>
                    <w:t>Please send s</w:t>
                  </w:r>
                  <w:r w:rsidRPr="000A3880">
                    <w:rPr>
                      <w:rFonts w:ascii="Arial" w:eastAsia="Cambria" w:hAnsi="Arial" w:cs="Arial"/>
                      <w:color w:val="auto"/>
                      <w:sz w:val="20"/>
                      <w:lang w:eastAsia="en-US"/>
                    </w:rPr>
                    <w:t xml:space="preserve">ubmissions in Word format </w:t>
                  </w:r>
                  <w:r>
                    <w:rPr>
                      <w:rFonts w:ascii="Arial" w:eastAsia="Cambria" w:hAnsi="Arial" w:cs="Arial"/>
                      <w:color w:val="auto"/>
                      <w:sz w:val="20"/>
                      <w:lang w:eastAsia="en-US"/>
                    </w:rPr>
                    <w:t xml:space="preserve">so that we can </w:t>
                  </w:r>
                  <w:r w:rsidRPr="000A3880">
                    <w:rPr>
                      <w:rFonts w:ascii="Arial" w:eastAsia="Cambria" w:hAnsi="Arial" w:cs="Arial"/>
                      <w:color w:val="auto"/>
                      <w:sz w:val="20"/>
                      <w:lang w:eastAsia="en-US"/>
                    </w:rPr>
                    <w:t xml:space="preserve">conform to W3C's </w:t>
                  </w:r>
                  <w:hyperlink r:id="rId10" w:tgtFrame="_blank" w:history="1">
                    <w:r w:rsidRPr="00996A3C">
                      <w:rPr>
                        <w:rFonts w:ascii="Arial" w:eastAsia="Cambria" w:hAnsi="Arial" w:cs="Arial"/>
                        <w:color w:val="auto"/>
                        <w:sz w:val="20"/>
                        <w:lang w:eastAsia="en-US"/>
                      </w:rPr>
                      <w:t>Web Content Accessibility Guidelines (WCAG) 2.0</w:t>
                    </w:r>
                  </w:hyperlink>
                  <w:r>
                    <w:rPr>
                      <w:rFonts w:ascii="Arial" w:eastAsia="Cambria" w:hAnsi="Arial" w:cs="Arial"/>
                      <w:color w:val="auto"/>
                      <w:sz w:val="20"/>
                      <w:lang w:eastAsia="en-US"/>
                    </w:rPr>
                    <w:t xml:space="preserve"> when we publish submissions</w:t>
                  </w:r>
                  <w:r w:rsidRPr="000A3880">
                    <w:rPr>
                      <w:rFonts w:ascii="Arial" w:eastAsia="Cambria" w:hAnsi="Arial" w:cs="Arial"/>
                      <w:color w:val="auto"/>
                      <w:sz w:val="20"/>
                      <w:lang w:eastAsia="en-US"/>
                    </w:rPr>
                    <w:t xml:space="preserve">. </w:t>
                  </w:r>
                </w:p>
                <w:p w:rsidR="005E5FE8" w:rsidRPr="009D5E19" w:rsidRDefault="005E5FE8" w:rsidP="00877CBF">
                  <w:pPr>
                    <w:pStyle w:val="Default"/>
                    <w:rPr>
                      <w:rFonts w:ascii="Arial" w:eastAsia="Cambria" w:hAnsi="Arial" w:cs="Arial"/>
                      <w:color w:val="auto"/>
                      <w:sz w:val="20"/>
                      <w:lang w:eastAsia="en-US"/>
                    </w:rPr>
                  </w:pPr>
                </w:p>
              </w:txbxContent>
            </v:textbox>
          </v:shape>
        </w:pict>
      </w:r>
    </w:p>
    <w:p w:rsidR="003A2BF1" w:rsidRPr="009D5E19" w:rsidRDefault="003A2BF1" w:rsidP="003A2BF1">
      <w:pPr>
        <w:pStyle w:val="Default"/>
        <w:rPr>
          <w:rFonts w:ascii="Arial" w:eastAsia="Cambria" w:hAnsi="Arial" w:cs="Arial"/>
          <w:color w:val="auto"/>
          <w:sz w:val="20"/>
          <w:lang w:eastAsia="en-US"/>
        </w:rPr>
      </w:pPr>
    </w:p>
    <w:p w:rsidR="003A2BF1" w:rsidRPr="009D5E19" w:rsidRDefault="003A2BF1" w:rsidP="003A2BF1">
      <w:pPr>
        <w:pStyle w:val="Default"/>
        <w:rPr>
          <w:rFonts w:ascii="Arial" w:eastAsia="Cambria" w:hAnsi="Arial" w:cs="Arial"/>
          <w:color w:val="auto"/>
          <w:sz w:val="20"/>
          <w:lang w:eastAsia="en-US"/>
        </w:rPr>
      </w:pPr>
    </w:p>
    <w:p w:rsidR="003A2BF1" w:rsidRPr="009D5E19" w:rsidRDefault="003A2BF1" w:rsidP="003A2BF1">
      <w:pPr>
        <w:pStyle w:val="Default"/>
        <w:rPr>
          <w:rFonts w:ascii="Arial" w:eastAsia="Cambria" w:hAnsi="Arial" w:cs="Arial"/>
          <w:color w:val="auto"/>
          <w:sz w:val="20"/>
          <w:lang w:eastAsia="en-US"/>
        </w:rPr>
      </w:pPr>
      <w:r w:rsidRPr="009D5E19">
        <w:rPr>
          <w:rFonts w:ascii="Arial" w:eastAsia="Cambria" w:hAnsi="Arial" w:cs="Arial"/>
          <w:color w:val="auto"/>
          <w:sz w:val="20"/>
          <w:lang w:eastAsia="en-US"/>
        </w:rPr>
        <w:t xml:space="preserve">The Boards and AHPRA publish submissions on their websites to encourage discussion and inform the community and stakeholders. We will not place on our websites, or make available to the public, submissions that contain offensive or defamatory comments or which are outside the scope of the </w:t>
      </w:r>
      <w:r w:rsidR="00996A3C">
        <w:rPr>
          <w:rFonts w:ascii="Arial" w:eastAsia="Cambria" w:hAnsi="Arial" w:cs="Arial"/>
          <w:color w:val="auto"/>
          <w:sz w:val="20"/>
          <w:lang w:eastAsia="en-US"/>
        </w:rPr>
        <w:t>consultation</w:t>
      </w:r>
      <w:r w:rsidRPr="009D5E19">
        <w:rPr>
          <w:rFonts w:ascii="Arial" w:eastAsia="Cambria" w:hAnsi="Arial" w:cs="Arial"/>
          <w:color w:val="auto"/>
          <w:sz w:val="20"/>
          <w:lang w:eastAsia="en-US"/>
        </w:rPr>
        <w:t xml:space="preserve">. Before publication, we may remove personally identifying information from submissions. </w:t>
      </w:r>
    </w:p>
    <w:p w:rsidR="003A2BF1" w:rsidRPr="009D5E19" w:rsidRDefault="003A2BF1" w:rsidP="003A2BF1">
      <w:pPr>
        <w:pStyle w:val="Default"/>
        <w:rPr>
          <w:rFonts w:ascii="Arial" w:eastAsia="Cambria" w:hAnsi="Arial" w:cs="Arial"/>
          <w:color w:val="auto"/>
          <w:sz w:val="20"/>
          <w:lang w:eastAsia="en-US"/>
        </w:rPr>
      </w:pPr>
    </w:p>
    <w:p w:rsidR="00C52AF4" w:rsidRDefault="00C52AF4" w:rsidP="003A2BF1">
      <w:pPr>
        <w:pStyle w:val="Default"/>
        <w:rPr>
          <w:rFonts w:ascii="Arial" w:eastAsia="Cambria" w:hAnsi="Arial" w:cs="Arial"/>
          <w:color w:val="auto"/>
          <w:sz w:val="20"/>
          <w:lang w:eastAsia="en-US"/>
        </w:rPr>
      </w:pPr>
    </w:p>
    <w:p w:rsidR="003A2BF1" w:rsidRPr="009D5E19" w:rsidRDefault="003A2BF1" w:rsidP="003A2BF1">
      <w:pPr>
        <w:pStyle w:val="Default"/>
        <w:rPr>
          <w:rFonts w:ascii="Arial" w:eastAsia="Cambria" w:hAnsi="Arial" w:cs="Arial"/>
          <w:color w:val="auto"/>
          <w:sz w:val="20"/>
          <w:lang w:eastAsia="en-US"/>
        </w:rPr>
      </w:pPr>
      <w:r w:rsidRPr="009D5E19">
        <w:rPr>
          <w:rFonts w:ascii="Arial" w:eastAsia="Cambria" w:hAnsi="Arial" w:cs="Arial"/>
          <w:color w:val="auto"/>
          <w:sz w:val="20"/>
          <w:lang w:eastAsia="en-US"/>
        </w:rPr>
        <w:t xml:space="preserve">The views expressed in the submissions </w:t>
      </w:r>
      <w:r w:rsidR="009D6085">
        <w:rPr>
          <w:rFonts w:ascii="Arial" w:eastAsia="Cambria" w:hAnsi="Arial" w:cs="Arial"/>
          <w:color w:val="auto"/>
          <w:sz w:val="20"/>
          <w:lang w:eastAsia="en-US"/>
        </w:rPr>
        <w:t xml:space="preserve">to this consultation </w:t>
      </w:r>
      <w:r w:rsidRPr="009D5E19">
        <w:rPr>
          <w:rFonts w:ascii="Arial" w:eastAsia="Cambria" w:hAnsi="Arial" w:cs="Arial"/>
          <w:color w:val="auto"/>
          <w:sz w:val="20"/>
          <w:lang w:eastAsia="en-US"/>
        </w:rPr>
        <w:t>are those of the individuals or organisations who submit them</w:t>
      </w:r>
      <w:r w:rsidR="009D6085">
        <w:rPr>
          <w:rFonts w:ascii="Arial" w:eastAsia="Cambria" w:hAnsi="Arial" w:cs="Arial"/>
          <w:color w:val="auto"/>
          <w:sz w:val="20"/>
          <w:lang w:eastAsia="en-US"/>
        </w:rPr>
        <w:t xml:space="preserve">. Their </w:t>
      </w:r>
      <w:r w:rsidRPr="009D5E19">
        <w:rPr>
          <w:rFonts w:ascii="Arial" w:eastAsia="Cambria" w:hAnsi="Arial" w:cs="Arial"/>
          <w:color w:val="auto"/>
          <w:sz w:val="20"/>
          <w:lang w:eastAsia="en-US"/>
        </w:rPr>
        <w:t xml:space="preserve">publication does not imply any acceptance of, or agreement with, these views by the </w:t>
      </w:r>
      <w:r w:rsidR="009D6085">
        <w:rPr>
          <w:rFonts w:ascii="Arial" w:eastAsia="Cambria" w:hAnsi="Arial" w:cs="Arial"/>
          <w:color w:val="auto"/>
          <w:sz w:val="20"/>
          <w:lang w:eastAsia="en-US"/>
        </w:rPr>
        <w:t xml:space="preserve">National </w:t>
      </w:r>
      <w:r w:rsidRPr="009D5E19">
        <w:rPr>
          <w:rFonts w:ascii="Arial" w:eastAsia="Cambria" w:hAnsi="Arial" w:cs="Arial"/>
          <w:color w:val="auto"/>
          <w:sz w:val="20"/>
          <w:lang w:eastAsia="en-US"/>
        </w:rPr>
        <w:t>Board</w:t>
      </w:r>
      <w:r w:rsidR="00BD53BF">
        <w:rPr>
          <w:rFonts w:ascii="Arial" w:eastAsia="Cambria" w:hAnsi="Arial" w:cs="Arial"/>
          <w:color w:val="auto"/>
          <w:sz w:val="20"/>
          <w:lang w:eastAsia="en-US"/>
        </w:rPr>
        <w:t>s</w:t>
      </w:r>
      <w:r w:rsidRPr="009D5E19">
        <w:rPr>
          <w:rFonts w:ascii="Arial" w:eastAsia="Cambria" w:hAnsi="Arial" w:cs="Arial"/>
          <w:color w:val="auto"/>
          <w:sz w:val="20"/>
          <w:lang w:eastAsia="en-US"/>
        </w:rPr>
        <w:t xml:space="preserve">. </w:t>
      </w:r>
    </w:p>
    <w:p w:rsidR="003A2BF1" w:rsidRPr="009D5E19" w:rsidRDefault="003A2BF1" w:rsidP="003A2BF1">
      <w:pPr>
        <w:pStyle w:val="Default"/>
        <w:rPr>
          <w:rFonts w:ascii="Arial" w:eastAsia="Cambria" w:hAnsi="Arial" w:cs="Arial"/>
          <w:color w:val="auto"/>
          <w:sz w:val="20"/>
          <w:lang w:eastAsia="en-US"/>
        </w:rPr>
      </w:pPr>
    </w:p>
    <w:p w:rsidR="003A2BF1" w:rsidRPr="009D5E19" w:rsidRDefault="003A2BF1" w:rsidP="003A2BF1">
      <w:pPr>
        <w:pStyle w:val="Default"/>
        <w:rPr>
          <w:rFonts w:ascii="Arial" w:eastAsia="Cambria" w:hAnsi="Arial" w:cs="Arial"/>
          <w:color w:val="auto"/>
          <w:sz w:val="20"/>
          <w:lang w:eastAsia="en-US"/>
        </w:rPr>
      </w:pPr>
      <w:r w:rsidRPr="009D5E19">
        <w:rPr>
          <w:rFonts w:ascii="Arial" w:eastAsia="Cambria" w:hAnsi="Arial" w:cs="Arial"/>
          <w:color w:val="auto"/>
          <w:sz w:val="20"/>
          <w:lang w:eastAsia="en-US"/>
        </w:rPr>
        <w:t>The Board</w:t>
      </w:r>
      <w:r w:rsidR="009D5E19">
        <w:rPr>
          <w:rFonts w:ascii="Arial" w:eastAsia="Cambria" w:hAnsi="Arial" w:cs="Arial"/>
          <w:color w:val="auto"/>
          <w:sz w:val="20"/>
          <w:lang w:eastAsia="en-US"/>
        </w:rPr>
        <w:t>s</w:t>
      </w:r>
      <w:r w:rsidRPr="009D5E19">
        <w:rPr>
          <w:rFonts w:ascii="Arial" w:eastAsia="Cambria" w:hAnsi="Arial" w:cs="Arial"/>
          <w:color w:val="auto"/>
          <w:sz w:val="20"/>
          <w:lang w:eastAsia="en-US"/>
        </w:rPr>
        <w:t xml:space="preserve"> also accept submissions made in confidence. These will not be published on the website or elsewhere. Submissions may be confidential because they include personal or other sensitive information. Any request for access to a confidential submission will be determined in accordance with the Freedom of Information Act 1982 (Cth), which has provisions designed to protect personal information and information given in confidence.</w:t>
      </w:r>
    </w:p>
    <w:p w:rsidR="003A2BF1" w:rsidRPr="009D5E19" w:rsidRDefault="003A2BF1" w:rsidP="003A2BF1">
      <w:pPr>
        <w:pStyle w:val="Default"/>
        <w:rPr>
          <w:rFonts w:ascii="Arial" w:eastAsia="Cambria" w:hAnsi="Arial" w:cs="Arial"/>
          <w:color w:val="auto"/>
          <w:sz w:val="20"/>
          <w:lang w:eastAsia="en-US"/>
        </w:rPr>
      </w:pPr>
    </w:p>
    <w:p w:rsidR="003A2BF1" w:rsidRPr="009D5E19" w:rsidRDefault="003A2BF1" w:rsidP="003A2BF1">
      <w:pPr>
        <w:pStyle w:val="Default"/>
        <w:spacing w:after="134"/>
        <w:rPr>
          <w:rFonts w:ascii="Arial" w:eastAsia="Cambria" w:hAnsi="Arial" w:cs="Arial"/>
          <w:color w:val="auto"/>
          <w:sz w:val="20"/>
          <w:lang w:eastAsia="en-US"/>
        </w:rPr>
      </w:pPr>
      <w:r w:rsidRPr="009D5E19">
        <w:rPr>
          <w:rFonts w:ascii="Arial" w:eastAsia="Cambria" w:hAnsi="Arial" w:cs="Arial"/>
          <w:color w:val="auto"/>
          <w:sz w:val="20"/>
          <w:lang w:eastAsia="en-US"/>
        </w:rPr>
        <w:t>Please let us know if you do not want us to publish your submission, or want us to treat all or part of it as confidential.</w:t>
      </w:r>
    </w:p>
    <w:p w:rsidR="003A2BF1" w:rsidRPr="009D5E19" w:rsidRDefault="00C52AF4" w:rsidP="003A2BF1">
      <w:pPr>
        <w:pStyle w:val="Default"/>
        <w:spacing w:after="134"/>
        <w:rPr>
          <w:rFonts w:ascii="Arial" w:eastAsia="Cambria" w:hAnsi="Arial" w:cs="Arial"/>
          <w:color w:val="auto"/>
          <w:sz w:val="20"/>
          <w:lang w:eastAsia="en-US"/>
        </w:rPr>
      </w:pPr>
      <w:r>
        <w:rPr>
          <w:rFonts w:ascii="Arial" w:eastAsia="Cambria" w:hAnsi="Arial" w:cs="Arial"/>
          <w:color w:val="auto"/>
          <w:sz w:val="20"/>
          <w:lang w:eastAsia="en-US"/>
        </w:rPr>
        <w:t>All submissions will be distributed to Board members, AHPRA staff and contractors.  These people will use the feedback in the submissions to review and revise the guidelines.  If the submissions were made confidentially, they will keep them confidential.</w:t>
      </w:r>
    </w:p>
    <w:p w:rsidR="00164A23" w:rsidRDefault="00164A23">
      <w:pPr>
        <w:spacing w:after="0" w:line="240" w:lineRule="auto"/>
        <w:rPr>
          <w:rFonts w:ascii="Arial" w:hAnsi="Arial" w:cs="Arial"/>
          <w:b/>
          <w:color w:val="008EC4"/>
          <w:sz w:val="20"/>
          <w:szCs w:val="20"/>
          <w:lang w:val="en-US"/>
        </w:rPr>
      </w:pPr>
      <w:r>
        <w:rPr>
          <w:rFonts w:cs="Arial"/>
          <w:b/>
          <w:sz w:val="20"/>
          <w:szCs w:val="20"/>
        </w:rPr>
        <w:br w:type="page"/>
      </w:r>
    </w:p>
    <w:p w:rsidR="008A6691" w:rsidRPr="002E1CC7" w:rsidRDefault="002949DD" w:rsidP="002E1CC7">
      <w:pPr>
        <w:pStyle w:val="AHPRAHeadline"/>
        <w:spacing w:before="200"/>
        <w:rPr>
          <w:rFonts w:cs="Arial"/>
          <w:b/>
          <w:sz w:val="20"/>
          <w:szCs w:val="20"/>
        </w:rPr>
      </w:pPr>
      <w:r w:rsidRPr="002E1CC7">
        <w:rPr>
          <w:rFonts w:cs="Arial"/>
          <w:b/>
          <w:sz w:val="20"/>
          <w:szCs w:val="20"/>
        </w:rPr>
        <w:lastRenderedPageBreak/>
        <w:t>Background information</w:t>
      </w:r>
    </w:p>
    <w:p w:rsidR="00A76825" w:rsidRDefault="003D622B" w:rsidP="003D622B">
      <w:pPr>
        <w:pStyle w:val="AHPRAbody"/>
      </w:pPr>
      <w:r>
        <w:t xml:space="preserve">A number of the National Boards have received feedback from </w:t>
      </w:r>
      <w:r w:rsidR="00E83FAD">
        <w:t>employers, some practitioners and members of the public</w:t>
      </w:r>
      <w:r w:rsidR="0020493E">
        <w:t>,</w:t>
      </w:r>
      <w:r w:rsidR="00E83FAD">
        <w:t xml:space="preserve"> </w:t>
      </w:r>
      <w:r w:rsidR="009D6085">
        <w:t>as well as Board members who make decisions about individual cases,</w:t>
      </w:r>
      <w:r>
        <w:t xml:space="preserve"> that there is a need to publish guidelines for health practitioners who are infected with a blood-borne virus.  </w:t>
      </w:r>
      <w:r w:rsidR="00B136DF">
        <w:t>Th</w:t>
      </w:r>
      <w:r w:rsidR="00A76825">
        <w:t>ese guidelines aim to meet this need by:</w:t>
      </w:r>
    </w:p>
    <w:p w:rsidR="0030647E" w:rsidRDefault="007619D0">
      <w:pPr>
        <w:pStyle w:val="AHPRAnumberedbulletpoint"/>
      </w:pPr>
      <w:r w:rsidRPr="002C6139">
        <w:t>i</w:t>
      </w:r>
      <w:r w:rsidR="00156849" w:rsidRPr="002C6139">
        <w:t xml:space="preserve">nforming </w:t>
      </w:r>
      <w:r w:rsidR="002E1CC7" w:rsidRPr="002C6139">
        <w:t xml:space="preserve">all </w:t>
      </w:r>
      <w:r w:rsidR="00156849" w:rsidRPr="002C6139">
        <w:t xml:space="preserve">practitioners that they are required to comply with </w:t>
      </w:r>
      <w:r w:rsidR="00D608ED">
        <w:t>CDNA</w:t>
      </w:r>
      <w:r w:rsidR="002C6139" w:rsidRPr="002C6139">
        <w:t xml:space="preserve"> </w:t>
      </w:r>
      <w:r w:rsidR="009A0015">
        <w:t xml:space="preserve">(Communicable Diseases Network Australia) </w:t>
      </w:r>
      <w:r w:rsidR="002C6139" w:rsidRPr="002C6139">
        <w:t xml:space="preserve">guidelines </w:t>
      </w:r>
      <w:r w:rsidR="00D608ED">
        <w:t>for</w:t>
      </w:r>
      <w:r w:rsidR="00156849" w:rsidRPr="002C6139">
        <w:t xml:space="preserve"> health practitioners infected with a blood-borne virus</w:t>
      </w:r>
      <w:r w:rsidR="002C6139">
        <w:t>,</w:t>
      </w:r>
      <w:r w:rsidR="000C0813" w:rsidRPr="002C6139">
        <w:t xml:space="preserve"> </w:t>
      </w:r>
      <w:r w:rsidR="009D6085">
        <w:t xml:space="preserve">to </w:t>
      </w:r>
      <w:r w:rsidR="000C0813" w:rsidRPr="002C6139">
        <w:t>ensure that their practice does not compromise public safety</w:t>
      </w:r>
      <w:r w:rsidR="000A3880" w:rsidRPr="000A3880">
        <w:rPr>
          <w:rStyle w:val="FootnoteReference"/>
          <w:rFonts w:cs="Arial"/>
          <w:lang w:val="en-AU"/>
        </w:rPr>
        <w:footnoteReference w:id="1"/>
      </w:r>
      <w:r w:rsidR="00B51648" w:rsidRPr="00E46CB7">
        <w:rPr>
          <w:vertAlign w:val="superscript"/>
        </w:rPr>
        <w:t xml:space="preserve"> </w:t>
      </w:r>
    </w:p>
    <w:p w:rsidR="00A76825" w:rsidRPr="00816C55" w:rsidRDefault="00A76825" w:rsidP="00A76825">
      <w:pPr>
        <w:pStyle w:val="AHPRAnumberedbulletpoint"/>
        <w:spacing w:before="200" w:after="200"/>
        <w:ind w:left="425" w:hanging="425"/>
      </w:pPr>
      <w:r w:rsidRPr="00816C55">
        <w:t>explain</w:t>
      </w:r>
      <w:r>
        <w:t>ing</w:t>
      </w:r>
      <w:r w:rsidRPr="00816C55">
        <w:t xml:space="preserve"> when a treating practitioner may have a responsibility to notify the relevant Board of their patient’s infective status, when the patient is a registered health practitioner or student</w:t>
      </w:r>
      <w:r w:rsidR="00C96E8B">
        <w:t>, and</w:t>
      </w:r>
    </w:p>
    <w:p w:rsidR="00A76825" w:rsidRPr="00816C55" w:rsidRDefault="00A76825" w:rsidP="00A76825">
      <w:pPr>
        <w:pStyle w:val="AHPRAnumberedbulletpoint"/>
        <w:spacing w:before="200" w:after="200"/>
        <w:ind w:left="426" w:hanging="426"/>
      </w:pPr>
      <w:r w:rsidRPr="00816C55">
        <w:t>provid</w:t>
      </w:r>
      <w:r>
        <w:t>ing</w:t>
      </w:r>
      <w:r w:rsidRPr="00816C55">
        <w:t xml:space="preserve"> information on the range of actions that a Board may take if it receives a notification that a registered health practitioner or student is infected with a blood-borne virus.</w:t>
      </w:r>
    </w:p>
    <w:p w:rsidR="00944642" w:rsidRDefault="00944642" w:rsidP="003D622B">
      <w:pPr>
        <w:pStyle w:val="NormalWeb"/>
        <w:spacing w:before="2" w:after="2"/>
        <w:rPr>
          <w:rFonts w:ascii="Arial" w:eastAsia="Cambria" w:hAnsi="Arial" w:cs="Arial"/>
          <w:szCs w:val="24"/>
        </w:rPr>
      </w:pPr>
      <w:r>
        <w:rPr>
          <w:rFonts w:ascii="Arial" w:eastAsia="Cambria" w:hAnsi="Arial" w:cs="Arial"/>
          <w:szCs w:val="24"/>
        </w:rPr>
        <w:t>The</w:t>
      </w:r>
      <w:r w:rsidR="00C52AF4">
        <w:rPr>
          <w:rFonts w:ascii="Arial" w:eastAsia="Cambria" w:hAnsi="Arial" w:cs="Arial"/>
          <w:szCs w:val="24"/>
        </w:rPr>
        <w:t xml:space="preserve"> proposed </w:t>
      </w:r>
      <w:r w:rsidR="009D6085">
        <w:rPr>
          <w:rFonts w:ascii="Arial" w:eastAsia="Cambria" w:hAnsi="Arial" w:cs="Arial"/>
          <w:szCs w:val="24"/>
        </w:rPr>
        <w:t xml:space="preserve">National </w:t>
      </w:r>
      <w:r w:rsidR="00C52AF4">
        <w:rPr>
          <w:rFonts w:ascii="Arial" w:eastAsia="Cambria" w:hAnsi="Arial" w:cs="Arial"/>
          <w:szCs w:val="24"/>
        </w:rPr>
        <w:t>Board</w:t>
      </w:r>
      <w:r>
        <w:rPr>
          <w:rFonts w:ascii="Arial" w:eastAsia="Cambria" w:hAnsi="Arial" w:cs="Arial"/>
          <w:szCs w:val="24"/>
        </w:rPr>
        <w:t xml:space="preserve"> guidelines will also support delegated decision-makers to make consistent decisions about the management of health practitioners and students who are infected with a blood-borne virus.</w:t>
      </w:r>
    </w:p>
    <w:p w:rsidR="00944642" w:rsidRDefault="00944642" w:rsidP="003D622B">
      <w:pPr>
        <w:pStyle w:val="NormalWeb"/>
        <w:spacing w:before="2" w:after="2"/>
        <w:rPr>
          <w:rFonts w:ascii="Arial" w:eastAsia="Cambria" w:hAnsi="Arial" w:cs="Arial"/>
          <w:szCs w:val="24"/>
        </w:rPr>
      </w:pPr>
    </w:p>
    <w:p w:rsidR="00A76825" w:rsidRDefault="00A76825" w:rsidP="003D622B">
      <w:pPr>
        <w:pStyle w:val="NormalWeb"/>
        <w:spacing w:before="2" w:after="2"/>
        <w:rPr>
          <w:rFonts w:ascii="Arial" w:eastAsia="Cambria" w:hAnsi="Arial" w:cs="Arial"/>
          <w:szCs w:val="24"/>
        </w:rPr>
      </w:pPr>
      <w:r>
        <w:rPr>
          <w:rFonts w:ascii="Arial" w:eastAsia="Cambria" w:hAnsi="Arial" w:cs="Arial"/>
          <w:szCs w:val="24"/>
        </w:rPr>
        <w:t xml:space="preserve">The guidelines are explicit that a health practitioner infected with a blood-borne virus can continue to practise their profession if they </w:t>
      </w:r>
      <w:r w:rsidR="00156849">
        <w:rPr>
          <w:rFonts w:ascii="Arial" w:eastAsia="Cambria" w:hAnsi="Arial" w:cs="Arial"/>
          <w:szCs w:val="24"/>
        </w:rPr>
        <w:t xml:space="preserve">comply with the </w:t>
      </w:r>
      <w:r w:rsidR="00D608ED">
        <w:rPr>
          <w:rFonts w:ascii="Arial" w:eastAsia="Cambria" w:hAnsi="Arial" w:cs="Arial"/>
          <w:szCs w:val="24"/>
        </w:rPr>
        <w:t>CDNA</w:t>
      </w:r>
      <w:r w:rsidR="009D5E19">
        <w:rPr>
          <w:rFonts w:ascii="Arial" w:eastAsia="Cambria" w:hAnsi="Arial" w:cs="Arial"/>
          <w:szCs w:val="24"/>
        </w:rPr>
        <w:t xml:space="preserve"> </w:t>
      </w:r>
      <w:r w:rsidR="00156849">
        <w:rPr>
          <w:rFonts w:ascii="Arial" w:eastAsia="Cambria" w:hAnsi="Arial" w:cs="Arial"/>
          <w:szCs w:val="24"/>
        </w:rPr>
        <w:t xml:space="preserve">guidelines.  </w:t>
      </w:r>
      <w:r w:rsidR="000C0813">
        <w:rPr>
          <w:rFonts w:ascii="Arial" w:eastAsia="Cambria" w:hAnsi="Arial" w:cs="Arial"/>
          <w:szCs w:val="24"/>
        </w:rPr>
        <w:t>However, they may have to modify their practice</w:t>
      </w:r>
      <w:r w:rsidR="009D5E19">
        <w:rPr>
          <w:rFonts w:ascii="Arial" w:eastAsia="Cambria" w:hAnsi="Arial" w:cs="Arial"/>
          <w:szCs w:val="24"/>
        </w:rPr>
        <w:t>.  F</w:t>
      </w:r>
      <w:r w:rsidR="000C0813">
        <w:rPr>
          <w:rFonts w:ascii="Arial" w:eastAsia="Cambria" w:hAnsi="Arial" w:cs="Arial"/>
          <w:szCs w:val="24"/>
        </w:rPr>
        <w:t>or example, they may not be able to perform certain procedures such as exposure-prone procedures</w:t>
      </w:r>
      <w:r w:rsidR="009D5E19">
        <w:rPr>
          <w:rStyle w:val="FootnoteReference"/>
          <w:rFonts w:ascii="Arial" w:eastAsia="Cambria" w:hAnsi="Arial" w:cs="Arial"/>
          <w:szCs w:val="24"/>
        </w:rPr>
        <w:footnoteReference w:id="2"/>
      </w:r>
      <w:r w:rsidR="000C0813">
        <w:rPr>
          <w:rFonts w:ascii="Arial" w:eastAsia="Cambria" w:hAnsi="Arial" w:cs="Arial"/>
          <w:szCs w:val="24"/>
        </w:rPr>
        <w:t xml:space="preserve"> if the </w:t>
      </w:r>
      <w:r w:rsidR="00166CC1">
        <w:rPr>
          <w:rFonts w:ascii="Arial" w:eastAsia="Cambria" w:hAnsi="Arial" w:cs="Arial"/>
          <w:szCs w:val="24"/>
        </w:rPr>
        <w:t>CDNA</w:t>
      </w:r>
      <w:r w:rsidR="009D5E19">
        <w:rPr>
          <w:rFonts w:ascii="Arial" w:eastAsia="Cambria" w:hAnsi="Arial" w:cs="Arial"/>
          <w:szCs w:val="24"/>
        </w:rPr>
        <w:t xml:space="preserve"> guidelines </w:t>
      </w:r>
      <w:r w:rsidR="007619D0">
        <w:rPr>
          <w:rFonts w:ascii="Arial" w:eastAsia="Cambria" w:hAnsi="Arial" w:cs="Arial"/>
          <w:szCs w:val="24"/>
        </w:rPr>
        <w:t>preclude them</w:t>
      </w:r>
      <w:r w:rsidR="009D6085">
        <w:rPr>
          <w:rFonts w:ascii="Arial" w:eastAsia="Cambria" w:hAnsi="Arial" w:cs="Arial"/>
          <w:szCs w:val="24"/>
        </w:rPr>
        <w:t xml:space="preserve"> from doing so</w:t>
      </w:r>
      <w:r w:rsidR="009D5E19">
        <w:rPr>
          <w:rFonts w:ascii="Arial" w:eastAsia="Cambria" w:hAnsi="Arial" w:cs="Arial"/>
          <w:szCs w:val="24"/>
        </w:rPr>
        <w:t>.</w:t>
      </w:r>
    </w:p>
    <w:p w:rsidR="000C0813" w:rsidRDefault="000C0813" w:rsidP="003D622B">
      <w:pPr>
        <w:pStyle w:val="NormalWeb"/>
        <w:spacing w:before="2" w:after="2"/>
        <w:rPr>
          <w:rFonts w:ascii="Arial" w:eastAsia="Cambria" w:hAnsi="Arial" w:cs="Arial"/>
          <w:szCs w:val="24"/>
        </w:rPr>
      </w:pPr>
    </w:p>
    <w:p w:rsidR="00605F42" w:rsidRDefault="00605F42" w:rsidP="007836FD">
      <w:pPr>
        <w:pStyle w:val="NormalWeb"/>
        <w:spacing w:before="2" w:after="2"/>
        <w:rPr>
          <w:rFonts w:ascii="Arial" w:eastAsia="Cambria" w:hAnsi="Arial" w:cs="Arial"/>
          <w:szCs w:val="24"/>
        </w:rPr>
      </w:pPr>
      <w:r>
        <w:rPr>
          <w:rFonts w:ascii="Arial" w:eastAsia="Cambria" w:hAnsi="Arial" w:cs="Arial"/>
          <w:szCs w:val="24"/>
        </w:rPr>
        <w:t xml:space="preserve">Rather than trying to reproduce advice in the </w:t>
      </w:r>
      <w:r w:rsidR="000C0813">
        <w:rPr>
          <w:rFonts w:ascii="Arial" w:eastAsia="Cambria" w:hAnsi="Arial" w:cs="Arial"/>
          <w:szCs w:val="24"/>
        </w:rPr>
        <w:t xml:space="preserve">current </w:t>
      </w:r>
      <w:r w:rsidR="003A7697">
        <w:rPr>
          <w:rFonts w:ascii="Arial" w:eastAsia="Cambria" w:hAnsi="Arial" w:cs="Arial"/>
          <w:szCs w:val="24"/>
        </w:rPr>
        <w:t xml:space="preserve">AHMAC-endorsed </w:t>
      </w:r>
      <w:r w:rsidR="000C0813">
        <w:rPr>
          <w:rFonts w:ascii="Arial" w:eastAsia="Cambria" w:hAnsi="Arial" w:cs="Arial"/>
          <w:szCs w:val="24"/>
        </w:rPr>
        <w:t>CDNA guidelines</w:t>
      </w:r>
      <w:r>
        <w:rPr>
          <w:rFonts w:ascii="Arial" w:eastAsia="Cambria" w:hAnsi="Arial" w:cs="Arial"/>
          <w:szCs w:val="24"/>
        </w:rPr>
        <w:t xml:space="preserve"> titled</w:t>
      </w:r>
      <w:r w:rsidR="000C0813">
        <w:rPr>
          <w:rFonts w:ascii="Arial" w:eastAsia="Cambria" w:hAnsi="Arial" w:cs="Arial"/>
          <w:szCs w:val="24"/>
        </w:rPr>
        <w:t xml:space="preserve"> </w:t>
      </w:r>
      <w:r w:rsidR="003D622B" w:rsidRPr="000C0813">
        <w:rPr>
          <w:rFonts w:ascii="Arial" w:eastAsia="Cambria" w:hAnsi="Arial" w:cs="Arial"/>
          <w:i/>
          <w:szCs w:val="24"/>
        </w:rPr>
        <w:t>the</w:t>
      </w:r>
      <w:r w:rsidR="003D622B" w:rsidRPr="003D622B">
        <w:rPr>
          <w:rFonts w:ascii="Arial" w:eastAsia="Cambria" w:hAnsi="Arial" w:cs="Arial"/>
          <w:szCs w:val="24"/>
        </w:rPr>
        <w:t xml:space="preserve"> </w:t>
      </w:r>
      <w:r w:rsidR="003D622B" w:rsidRPr="003D622B">
        <w:rPr>
          <w:rFonts w:ascii="Arial" w:eastAsia="Cambria" w:hAnsi="Arial" w:cs="Arial"/>
          <w:i/>
          <w:szCs w:val="24"/>
        </w:rPr>
        <w:t>Australian National Guidelines for the Management of Health Care Workers known to be infected with blood-borne viruses</w:t>
      </w:r>
      <w:r w:rsidR="003D622B" w:rsidRPr="003D622B">
        <w:rPr>
          <w:rFonts w:ascii="Arial" w:eastAsia="Cambria" w:hAnsi="Arial" w:cs="Arial"/>
          <w:szCs w:val="24"/>
        </w:rPr>
        <w:t xml:space="preserve"> (the CDNA guidelines)</w:t>
      </w:r>
      <w:r>
        <w:rPr>
          <w:rFonts w:ascii="Arial" w:eastAsia="Cambria" w:hAnsi="Arial" w:cs="Arial"/>
          <w:szCs w:val="24"/>
        </w:rPr>
        <w:t xml:space="preserve">, the </w:t>
      </w:r>
      <w:r w:rsidR="009D6085">
        <w:rPr>
          <w:rFonts w:ascii="Arial" w:eastAsia="Cambria" w:hAnsi="Arial" w:cs="Arial"/>
          <w:szCs w:val="24"/>
        </w:rPr>
        <w:t xml:space="preserve">National </w:t>
      </w:r>
      <w:r>
        <w:rPr>
          <w:rFonts w:ascii="Arial" w:eastAsia="Cambria" w:hAnsi="Arial" w:cs="Arial"/>
          <w:szCs w:val="24"/>
        </w:rPr>
        <w:t xml:space="preserve">Boards have decided to refer to the guidelines and to inform practitioners that they are required to comply with them, including to modify their practice if necessary.  This </w:t>
      </w:r>
      <w:r w:rsidR="00C4402E">
        <w:rPr>
          <w:rFonts w:ascii="Arial" w:eastAsia="Cambria" w:hAnsi="Arial" w:cs="Arial"/>
          <w:szCs w:val="24"/>
        </w:rPr>
        <w:t xml:space="preserve">has been </w:t>
      </w:r>
      <w:r>
        <w:rPr>
          <w:rFonts w:ascii="Arial" w:eastAsia="Cambria" w:hAnsi="Arial" w:cs="Arial"/>
          <w:szCs w:val="24"/>
        </w:rPr>
        <w:t>done because:</w:t>
      </w:r>
    </w:p>
    <w:p w:rsidR="00F67074" w:rsidRDefault="00F67074" w:rsidP="007836FD">
      <w:pPr>
        <w:pStyle w:val="NormalWeb"/>
        <w:spacing w:before="2" w:after="2"/>
        <w:rPr>
          <w:rFonts w:ascii="Arial" w:eastAsia="Cambria" w:hAnsi="Arial" w:cs="Arial"/>
          <w:szCs w:val="24"/>
        </w:rPr>
      </w:pPr>
    </w:p>
    <w:p w:rsidR="00605F42" w:rsidRDefault="009D6085" w:rsidP="00605F42">
      <w:pPr>
        <w:pStyle w:val="NormalWeb"/>
        <w:numPr>
          <w:ilvl w:val="0"/>
          <w:numId w:val="6"/>
        </w:numPr>
        <w:spacing w:before="2" w:after="2"/>
        <w:rPr>
          <w:rFonts w:ascii="Arial" w:eastAsia="Cambria" w:hAnsi="Arial" w:cs="Arial"/>
          <w:szCs w:val="24"/>
        </w:rPr>
      </w:pPr>
      <w:r>
        <w:rPr>
          <w:rFonts w:ascii="Arial" w:eastAsia="Cambria" w:hAnsi="Arial" w:cs="Arial"/>
          <w:szCs w:val="24"/>
        </w:rPr>
        <w:t>Th</w:t>
      </w:r>
      <w:r w:rsidR="00605F42">
        <w:rPr>
          <w:rFonts w:ascii="Arial" w:eastAsia="Cambria" w:hAnsi="Arial" w:cs="Arial"/>
          <w:szCs w:val="24"/>
        </w:rPr>
        <w:t xml:space="preserve">e </w:t>
      </w:r>
      <w:r>
        <w:rPr>
          <w:rFonts w:ascii="Arial" w:eastAsia="Cambria" w:hAnsi="Arial" w:cs="Arial"/>
          <w:szCs w:val="24"/>
        </w:rPr>
        <w:t xml:space="preserve">National </w:t>
      </w:r>
      <w:r w:rsidR="00605F42">
        <w:rPr>
          <w:rFonts w:ascii="Arial" w:eastAsia="Cambria" w:hAnsi="Arial" w:cs="Arial"/>
          <w:szCs w:val="24"/>
        </w:rPr>
        <w:t>Boards acknowledge the considerable expertise of the CDNA</w:t>
      </w:r>
      <w:r>
        <w:rPr>
          <w:rFonts w:ascii="Arial" w:eastAsia="Cambria" w:hAnsi="Arial" w:cs="Arial"/>
          <w:szCs w:val="24"/>
        </w:rPr>
        <w:t xml:space="preserve">, which has </w:t>
      </w:r>
      <w:r w:rsidR="009D5E19">
        <w:rPr>
          <w:rFonts w:ascii="Arial" w:eastAsia="Cambria" w:hAnsi="Arial" w:cs="Arial"/>
          <w:szCs w:val="24"/>
        </w:rPr>
        <w:t>produced the current guidelines</w:t>
      </w:r>
      <w:r w:rsidR="00DF7A06">
        <w:rPr>
          <w:rFonts w:ascii="Arial" w:eastAsia="Cambria" w:hAnsi="Arial" w:cs="Arial"/>
          <w:szCs w:val="24"/>
        </w:rPr>
        <w:t xml:space="preserve"> based on international best practice and the latest available evidence</w:t>
      </w:r>
      <w:r>
        <w:rPr>
          <w:rFonts w:ascii="Arial" w:eastAsia="Cambria" w:hAnsi="Arial" w:cs="Arial"/>
          <w:szCs w:val="24"/>
        </w:rPr>
        <w:t>.</w:t>
      </w:r>
    </w:p>
    <w:p w:rsidR="00F67074" w:rsidRDefault="00F67074" w:rsidP="00F67074">
      <w:pPr>
        <w:pStyle w:val="NormalWeb"/>
        <w:spacing w:before="2" w:after="2"/>
        <w:rPr>
          <w:rFonts w:ascii="Arial" w:eastAsia="Cambria" w:hAnsi="Arial" w:cs="Arial"/>
          <w:szCs w:val="24"/>
        </w:rPr>
      </w:pPr>
    </w:p>
    <w:p w:rsidR="009D5E19" w:rsidRDefault="009D6085" w:rsidP="00F67074">
      <w:pPr>
        <w:pStyle w:val="NormalWeb"/>
        <w:numPr>
          <w:ilvl w:val="0"/>
          <w:numId w:val="6"/>
        </w:numPr>
        <w:spacing w:before="2" w:after="2"/>
        <w:rPr>
          <w:rFonts w:ascii="Arial" w:eastAsia="Cambria" w:hAnsi="Arial" w:cs="Arial"/>
          <w:szCs w:val="24"/>
        </w:rPr>
      </w:pPr>
      <w:r>
        <w:rPr>
          <w:rFonts w:ascii="Arial" w:eastAsia="Cambria" w:hAnsi="Arial" w:cs="Arial"/>
          <w:szCs w:val="24"/>
        </w:rPr>
        <w:t>T</w:t>
      </w:r>
      <w:r w:rsidRPr="009D5E19">
        <w:rPr>
          <w:rFonts w:ascii="Arial" w:eastAsia="Cambria" w:hAnsi="Arial" w:cs="Arial"/>
          <w:szCs w:val="24"/>
        </w:rPr>
        <w:t xml:space="preserve">he </w:t>
      </w:r>
      <w:r w:rsidR="00F67074" w:rsidRPr="009D5E19">
        <w:rPr>
          <w:rFonts w:ascii="Arial" w:eastAsia="Cambria" w:hAnsi="Arial" w:cs="Arial"/>
          <w:szCs w:val="24"/>
        </w:rPr>
        <w:t>Boards</w:t>
      </w:r>
      <w:r w:rsidR="00A25C97">
        <w:rPr>
          <w:rFonts w:ascii="Arial" w:eastAsia="Cambria" w:hAnsi="Arial" w:cs="Arial"/>
          <w:szCs w:val="24"/>
        </w:rPr>
        <w:t xml:space="preserve"> are</w:t>
      </w:r>
      <w:r w:rsidR="00C4402E">
        <w:rPr>
          <w:rFonts w:ascii="Arial" w:eastAsia="Cambria" w:hAnsi="Arial" w:cs="Arial"/>
          <w:szCs w:val="24"/>
        </w:rPr>
        <w:t xml:space="preserve"> </w:t>
      </w:r>
      <w:r w:rsidR="009D5E19" w:rsidRPr="009D5E19">
        <w:rPr>
          <w:rFonts w:ascii="Arial" w:eastAsia="Cambria" w:hAnsi="Arial" w:cs="Arial"/>
          <w:szCs w:val="24"/>
        </w:rPr>
        <w:t>regulator</w:t>
      </w:r>
      <w:r w:rsidR="00A25C97">
        <w:rPr>
          <w:rFonts w:ascii="Arial" w:eastAsia="Cambria" w:hAnsi="Arial" w:cs="Arial"/>
          <w:szCs w:val="24"/>
        </w:rPr>
        <w:t>s</w:t>
      </w:r>
      <w:r>
        <w:rPr>
          <w:rFonts w:ascii="Arial" w:eastAsia="Cambria" w:hAnsi="Arial" w:cs="Arial"/>
          <w:szCs w:val="24"/>
        </w:rPr>
        <w:t xml:space="preserve">, not </w:t>
      </w:r>
      <w:r w:rsidR="00C4402E">
        <w:rPr>
          <w:rFonts w:ascii="Arial" w:eastAsia="Cambria" w:hAnsi="Arial" w:cs="Arial"/>
          <w:szCs w:val="24"/>
        </w:rPr>
        <w:t>experts in the transmission of blood-borne viruses</w:t>
      </w:r>
      <w:r>
        <w:rPr>
          <w:rFonts w:ascii="Arial" w:eastAsia="Cambria" w:hAnsi="Arial" w:cs="Arial"/>
          <w:szCs w:val="24"/>
        </w:rPr>
        <w:t>.</w:t>
      </w:r>
    </w:p>
    <w:p w:rsidR="00F67074" w:rsidRPr="009D5E19" w:rsidRDefault="009D5E19" w:rsidP="009D5E19">
      <w:pPr>
        <w:pStyle w:val="NormalWeb"/>
        <w:spacing w:before="2" w:after="2"/>
        <w:rPr>
          <w:rFonts w:ascii="Arial" w:eastAsia="Cambria" w:hAnsi="Arial" w:cs="Arial"/>
          <w:szCs w:val="24"/>
        </w:rPr>
      </w:pPr>
      <w:r w:rsidRPr="009D5E19">
        <w:rPr>
          <w:rFonts w:ascii="Arial" w:eastAsia="Cambria" w:hAnsi="Arial" w:cs="Arial"/>
          <w:szCs w:val="24"/>
        </w:rPr>
        <w:t xml:space="preserve">  </w:t>
      </w:r>
    </w:p>
    <w:p w:rsidR="00605F42" w:rsidRDefault="009D6085" w:rsidP="00605F42">
      <w:pPr>
        <w:pStyle w:val="NormalWeb"/>
        <w:numPr>
          <w:ilvl w:val="0"/>
          <w:numId w:val="6"/>
        </w:numPr>
        <w:spacing w:before="2" w:after="2"/>
        <w:rPr>
          <w:rFonts w:ascii="Arial" w:eastAsia="Cambria" w:hAnsi="Arial" w:cs="Arial"/>
          <w:szCs w:val="24"/>
        </w:rPr>
      </w:pPr>
      <w:r>
        <w:rPr>
          <w:rFonts w:ascii="Arial" w:eastAsia="Cambria" w:hAnsi="Arial" w:cs="Arial"/>
          <w:szCs w:val="24"/>
        </w:rPr>
        <w:t xml:space="preserve">Consistency </w:t>
      </w:r>
      <w:r w:rsidR="00605F42">
        <w:rPr>
          <w:rFonts w:ascii="Arial" w:eastAsia="Cambria" w:hAnsi="Arial" w:cs="Arial"/>
          <w:szCs w:val="24"/>
        </w:rPr>
        <w:t xml:space="preserve">between the </w:t>
      </w:r>
      <w:r>
        <w:rPr>
          <w:rFonts w:ascii="Arial" w:eastAsia="Cambria" w:hAnsi="Arial" w:cs="Arial"/>
          <w:szCs w:val="24"/>
        </w:rPr>
        <w:t xml:space="preserve">National </w:t>
      </w:r>
      <w:r w:rsidR="00605F42">
        <w:rPr>
          <w:rFonts w:ascii="Arial" w:eastAsia="Cambria" w:hAnsi="Arial" w:cs="Arial"/>
          <w:szCs w:val="24"/>
        </w:rPr>
        <w:t xml:space="preserve">Boards’ requirements and other authoritative guidelines will reduce confusion, uncertainty and anxiety for practitioners </w:t>
      </w:r>
      <w:r w:rsidR="007619D0">
        <w:rPr>
          <w:rFonts w:ascii="Arial" w:eastAsia="Cambria" w:hAnsi="Arial" w:cs="Arial"/>
          <w:szCs w:val="24"/>
        </w:rPr>
        <w:t xml:space="preserve">who are infected </w:t>
      </w:r>
      <w:r w:rsidR="00605F42">
        <w:rPr>
          <w:rFonts w:ascii="Arial" w:eastAsia="Cambria" w:hAnsi="Arial" w:cs="Arial"/>
          <w:szCs w:val="24"/>
        </w:rPr>
        <w:t xml:space="preserve">and will </w:t>
      </w:r>
      <w:r>
        <w:rPr>
          <w:rFonts w:ascii="Arial" w:eastAsia="Cambria" w:hAnsi="Arial" w:cs="Arial"/>
          <w:szCs w:val="24"/>
        </w:rPr>
        <w:t>make it clearer</w:t>
      </w:r>
      <w:r w:rsidR="009D5E19">
        <w:rPr>
          <w:rFonts w:ascii="Arial" w:eastAsia="Cambria" w:hAnsi="Arial" w:cs="Arial"/>
          <w:szCs w:val="24"/>
        </w:rPr>
        <w:t xml:space="preserve"> </w:t>
      </w:r>
      <w:r w:rsidR="00605F42">
        <w:rPr>
          <w:rFonts w:ascii="Arial" w:eastAsia="Cambria" w:hAnsi="Arial" w:cs="Arial"/>
          <w:szCs w:val="24"/>
        </w:rPr>
        <w:t>for treating practitioners</w:t>
      </w:r>
      <w:r w:rsidR="00A25C97">
        <w:rPr>
          <w:rFonts w:ascii="Arial" w:eastAsia="Cambria" w:hAnsi="Arial" w:cs="Arial"/>
          <w:szCs w:val="24"/>
        </w:rPr>
        <w:t xml:space="preserve"> and others who need to refer to the guidelines</w:t>
      </w:r>
      <w:r w:rsidR="006458CE">
        <w:rPr>
          <w:rFonts w:ascii="Arial" w:eastAsia="Cambria" w:hAnsi="Arial" w:cs="Arial"/>
          <w:szCs w:val="24"/>
        </w:rPr>
        <w:t>.</w:t>
      </w:r>
    </w:p>
    <w:p w:rsidR="00F67074" w:rsidRDefault="00F67074" w:rsidP="00F67074">
      <w:pPr>
        <w:pStyle w:val="NormalWeb"/>
        <w:spacing w:before="2" w:after="2"/>
        <w:rPr>
          <w:rFonts w:ascii="Arial" w:eastAsia="Cambria" w:hAnsi="Arial" w:cs="Arial"/>
          <w:szCs w:val="24"/>
        </w:rPr>
      </w:pPr>
    </w:p>
    <w:p w:rsidR="00F67074" w:rsidRDefault="009D6085" w:rsidP="00DA460D">
      <w:pPr>
        <w:pStyle w:val="NormalWeb"/>
        <w:numPr>
          <w:ilvl w:val="0"/>
          <w:numId w:val="6"/>
        </w:numPr>
        <w:spacing w:before="2" w:after="2"/>
        <w:rPr>
          <w:rFonts w:ascii="Arial" w:eastAsia="Cambria" w:hAnsi="Arial" w:cs="Arial"/>
          <w:szCs w:val="24"/>
        </w:rPr>
      </w:pPr>
      <w:r>
        <w:rPr>
          <w:rFonts w:ascii="Arial" w:eastAsia="Cambria" w:hAnsi="Arial" w:cs="Arial"/>
          <w:szCs w:val="24"/>
        </w:rPr>
        <w:t xml:space="preserve">This </w:t>
      </w:r>
      <w:r w:rsidR="002C6139">
        <w:rPr>
          <w:rFonts w:ascii="Arial" w:eastAsia="Cambria" w:hAnsi="Arial" w:cs="Arial"/>
          <w:szCs w:val="24"/>
        </w:rPr>
        <w:t>is</w:t>
      </w:r>
      <w:r w:rsidR="000C0813">
        <w:rPr>
          <w:rFonts w:ascii="Arial" w:eastAsia="Cambria" w:hAnsi="Arial" w:cs="Arial"/>
          <w:szCs w:val="24"/>
        </w:rPr>
        <w:t xml:space="preserve"> a rapidly </w:t>
      </w:r>
      <w:r w:rsidR="005C789D">
        <w:rPr>
          <w:rFonts w:ascii="Arial" w:eastAsia="Cambria" w:hAnsi="Arial" w:cs="Arial"/>
          <w:szCs w:val="24"/>
        </w:rPr>
        <w:t>evolving</w:t>
      </w:r>
      <w:r w:rsidR="000C0813">
        <w:rPr>
          <w:rFonts w:ascii="Arial" w:eastAsia="Cambria" w:hAnsi="Arial" w:cs="Arial"/>
          <w:szCs w:val="24"/>
        </w:rPr>
        <w:t xml:space="preserve"> area of practice</w:t>
      </w:r>
      <w:r w:rsidR="00605F42">
        <w:rPr>
          <w:rFonts w:ascii="Arial" w:eastAsia="Cambria" w:hAnsi="Arial" w:cs="Arial"/>
          <w:szCs w:val="24"/>
        </w:rPr>
        <w:t xml:space="preserve"> and the Boards need long lead times to </w:t>
      </w:r>
      <w:r w:rsidR="00C4402E">
        <w:rPr>
          <w:rFonts w:ascii="Arial" w:eastAsia="Cambria" w:hAnsi="Arial" w:cs="Arial"/>
          <w:szCs w:val="24"/>
        </w:rPr>
        <w:t>amend</w:t>
      </w:r>
      <w:r w:rsidR="00605F42">
        <w:rPr>
          <w:rFonts w:ascii="Arial" w:eastAsia="Cambria" w:hAnsi="Arial" w:cs="Arial"/>
          <w:szCs w:val="24"/>
        </w:rPr>
        <w:t xml:space="preserve"> guidelines.  By requiring practitioners to comply with the </w:t>
      </w:r>
      <w:r w:rsidR="00166CC1">
        <w:rPr>
          <w:rFonts w:ascii="Arial" w:eastAsia="Cambria" w:hAnsi="Arial" w:cs="Arial"/>
          <w:szCs w:val="24"/>
        </w:rPr>
        <w:t>CDNA</w:t>
      </w:r>
      <w:r w:rsidR="00605F42">
        <w:rPr>
          <w:rFonts w:ascii="Arial" w:eastAsia="Cambria" w:hAnsi="Arial" w:cs="Arial"/>
          <w:szCs w:val="24"/>
        </w:rPr>
        <w:t xml:space="preserve"> guidelines</w:t>
      </w:r>
      <w:r w:rsidR="002C6139">
        <w:rPr>
          <w:rFonts w:ascii="Arial" w:eastAsia="Cambria" w:hAnsi="Arial" w:cs="Arial"/>
          <w:szCs w:val="24"/>
        </w:rPr>
        <w:t>,</w:t>
      </w:r>
      <w:r w:rsidR="00605F42">
        <w:rPr>
          <w:rFonts w:ascii="Arial" w:eastAsia="Cambria" w:hAnsi="Arial" w:cs="Arial"/>
          <w:szCs w:val="24"/>
        </w:rPr>
        <w:t xml:space="preserve"> the </w:t>
      </w:r>
      <w:r>
        <w:rPr>
          <w:rFonts w:ascii="Arial" w:eastAsia="Cambria" w:hAnsi="Arial" w:cs="Arial"/>
          <w:szCs w:val="24"/>
        </w:rPr>
        <w:t xml:space="preserve">National </w:t>
      </w:r>
      <w:r w:rsidR="00605F42">
        <w:rPr>
          <w:rFonts w:ascii="Arial" w:eastAsia="Cambria" w:hAnsi="Arial" w:cs="Arial"/>
          <w:szCs w:val="24"/>
        </w:rPr>
        <w:t>Boards</w:t>
      </w:r>
      <w:r w:rsidR="00A25C97">
        <w:rPr>
          <w:rFonts w:ascii="Arial" w:eastAsia="Cambria" w:hAnsi="Arial" w:cs="Arial"/>
          <w:szCs w:val="24"/>
        </w:rPr>
        <w:t>’ guidelines can remain</w:t>
      </w:r>
      <w:r w:rsidR="00605F42">
        <w:rPr>
          <w:rFonts w:ascii="Arial" w:eastAsia="Cambria" w:hAnsi="Arial" w:cs="Arial"/>
          <w:szCs w:val="24"/>
        </w:rPr>
        <w:t xml:space="preserve"> </w:t>
      </w:r>
      <w:r w:rsidR="00A25C97">
        <w:rPr>
          <w:rFonts w:ascii="Arial" w:eastAsia="Cambria" w:hAnsi="Arial" w:cs="Arial"/>
          <w:szCs w:val="24"/>
        </w:rPr>
        <w:t>up-to-date</w:t>
      </w:r>
      <w:r w:rsidR="00F67074">
        <w:rPr>
          <w:rFonts w:ascii="Arial" w:eastAsia="Cambria" w:hAnsi="Arial" w:cs="Arial"/>
          <w:szCs w:val="24"/>
        </w:rPr>
        <w:t>, and changes to</w:t>
      </w:r>
      <w:r w:rsidR="00605F42">
        <w:rPr>
          <w:rFonts w:ascii="Arial" w:eastAsia="Cambria" w:hAnsi="Arial" w:cs="Arial"/>
          <w:szCs w:val="24"/>
        </w:rPr>
        <w:t xml:space="preserve"> </w:t>
      </w:r>
      <w:r w:rsidR="00F67074">
        <w:rPr>
          <w:rFonts w:ascii="Arial" w:eastAsia="Cambria" w:hAnsi="Arial" w:cs="Arial"/>
          <w:szCs w:val="24"/>
        </w:rPr>
        <w:t xml:space="preserve">the </w:t>
      </w:r>
      <w:r w:rsidR="00166CC1">
        <w:rPr>
          <w:rFonts w:ascii="Arial" w:eastAsia="Cambria" w:hAnsi="Arial" w:cs="Arial"/>
          <w:szCs w:val="24"/>
        </w:rPr>
        <w:t>CDNA</w:t>
      </w:r>
      <w:r w:rsidR="00A25C97">
        <w:rPr>
          <w:rFonts w:ascii="Arial" w:eastAsia="Cambria" w:hAnsi="Arial" w:cs="Arial"/>
          <w:szCs w:val="24"/>
        </w:rPr>
        <w:t xml:space="preserve"> guidelines can be </w:t>
      </w:r>
      <w:r w:rsidR="00F67074">
        <w:rPr>
          <w:rFonts w:ascii="Arial" w:eastAsia="Cambria" w:hAnsi="Arial" w:cs="Arial"/>
          <w:szCs w:val="24"/>
        </w:rPr>
        <w:t xml:space="preserve">effective as soon as </w:t>
      </w:r>
      <w:r w:rsidR="00166CC1">
        <w:rPr>
          <w:rFonts w:ascii="Arial" w:eastAsia="Cambria" w:hAnsi="Arial" w:cs="Arial"/>
          <w:szCs w:val="24"/>
        </w:rPr>
        <w:t>they have been</w:t>
      </w:r>
      <w:r w:rsidR="00A25C97">
        <w:rPr>
          <w:rFonts w:ascii="Arial" w:eastAsia="Cambria" w:hAnsi="Arial" w:cs="Arial"/>
          <w:szCs w:val="24"/>
        </w:rPr>
        <w:t xml:space="preserve"> </w:t>
      </w:r>
      <w:r w:rsidR="00C4402E">
        <w:rPr>
          <w:rFonts w:ascii="Arial" w:eastAsia="Cambria" w:hAnsi="Arial" w:cs="Arial"/>
          <w:szCs w:val="24"/>
        </w:rPr>
        <w:t>endorse</w:t>
      </w:r>
      <w:r w:rsidR="00A25C97">
        <w:rPr>
          <w:rFonts w:ascii="Arial" w:eastAsia="Cambria" w:hAnsi="Arial" w:cs="Arial"/>
          <w:szCs w:val="24"/>
        </w:rPr>
        <w:t>d</w:t>
      </w:r>
      <w:r w:rsidR="00166CC1">
        <w:rPr>
          <w:rFonts w:ascii="Arial" w:eastAsia="Cambria" w:hAnsi="Arial" w:cs="Arial"/>
          <w:szCs w:val="24"/>
        </w:rPr>
        <w:t xml:space="preserve">. </w:t>
      </w:r>
      <w:r w:rsidR="00CA6E99">
        <w:rPr>
          <w:rFonts w:ascii="Arial" w:eastAsia="Cambria" w:hAnsi="Arial" w:cs="Arial"/>
          <w:szCs w:val="24"/>
        </w:rPr>
        <w:t xml:space="preserve"> </w:t>
      </w:r>
    </w:p>
    <w:p w:rsidR="00810FE6" w:rsidRDefault="00810FE6" w:rsidP="00810FE6">
      <w:pPr>
        <w:pStyle w:val="NormalWeb"/>
        <w:spacing w:before="2" w:after="2"/>
        <w:rPr>
          <w:rFonts w:ascii="Arial" w:eastAsia="Cambria" w:hAnsi="Arial" w:cs="Arial"/>
          <w:szCs w:val="24"/>
        </w:rPr>
      </w:pPr>
    </w:p>
    <w:p w:rsidR="00CA6E99" w:rsidRDefault="00810FE6" w:rsidP="00CA6E99">
      <w:pPr>
        <w:pStyle w:val="NormalWeb"/>
        <w:spacing w:before="2" w:after="2"/>
        <w:ind w:left="360"/>
        <w:rPr>
          <w:rFonts w:ascii="Arial" w:eastAsia="Cambria" w:hAnsi="Arial" w:cs="Arial"/>
          <w:szCs w:val="24"/>
        </w:rPr>
      </w:pPr>
      <w:r>
        <w:rPr>
          <w:rFonts w:ascii="Arial" w:eastAsia="Cambria" w:hAnsi="Arial" w:cs="Arial"/>
          <w:szCs w:val="24"/>
        </w:rPr>
        <w:t xml:space="preserve">By way of illustration, the </w:t>
      </w:r>
      <w:r w:rsidRPr="002F777B">
        <w:rPr>
          <w:rFonts w:ascii="Arial" w:eastAsia="Cambria" w:hAnsi="Arial" w:cs="Arial"/>
          <w:szCs w:val="24"/>
        </w:rPr>
        <w:t xml:space="preserve">United Kingdom </w:t>
      </w:r>
      <w:r w:rsidR="009D6085" w:rsidRPr="002F777B">
        <w:rPr>
          <w:rFonts w:ascii="Arial" w:eastAsia="Cambria" w:hAnsi="Arial" w:cs="Arial"/>
          <w:szCs w:val="24"/>
        </w:rPr>
        <w:t>ha</w:t>
      </w:r>
      <w:r w:rsidR="009D6085">
        <w:rPr>
          <w:rFonts w:ascii="Arial" w:eastAsia="Cambria" w:hAnsi="Arial" w:cs="Arial"/>
          <w:szCs w:val="24"/>
        </w:rPr>
        <w:t>s</w:t>
      </w:r>
      <w:r w:rsidR="009D6085" w:rsidRPr="002F777B">
        <w:rPr>
          <w:rFonts w:ascii="Arial" w:eastAsia="Cambria" w:hAnsi="Arial" w:cs="Arial"/>
          <w:szCs w:val="24"/>
        </w:rPr>
        <w:t xml:space="preserve"> </w:t>
      </w:r>
      <w:r>
        <w:rPr>
          <w:rFonts w:ascii="Arial" w:eastAsia="Cambria" w:hAnsi="Arial" w:cs="Arial"/>
          <w:szCs w:val="24"/>
        </w:rPr>
        <w:t xml:space="preserve">recently </w:t>
      </w:r>
      <w:r w:rsidRPr="002F777B">
        <w:rPr>
          <w:rFonts w:ascii="Arial" w:eastAsia="Cambria" w:hAnsi="Arial" w:cs="Arial"/>
          <w:szCs w:val="24"/>
        </w:rPr>
        <w:t xml:space="preserve">announced that they will change their guidelines on practitioners infected with HIV.  They intend to take a less risk-averse stance in relation to practitioners with HIV who are on stable treatment and </w:t>
      </w:r>
      <w:r w:rsidR="009D6085">
        <w:rPr>
          <w:rFonts w:ascii="Arial" w:eastAsia="Cambria" w:hAnsi="Arial" w:cs="Arial"/>
          <w:szCs w:val="24"/>
        </w:rPr>
        <w:t xml:space="preserve">who have </w:t>
      </w:r>
      <w:r w:rsidRPr="002F777B">
        <w:rPr>
          <w:rFonts w:ascii="Arial" w:eastAsia="Cambria" w:hAnsi="Arial" w:cs="Arial"/>
          <w:szCs w:val="24"/>
        </w:rPr>
        <w:t>no recordable viral load.  Th</w:t>
      </w:r>
      <w:r>
        <w:rPr>
          <w:rFonts w:ascii="Arial" w:eastAsia="Cambria" w:hAnsi="Arial" w:cs="Arial"/>
          <w:szCs w:val="24"/>
        </w:rPr>
        <w:t xml:space="preserve">e </w:t>
      </w:r>
      <w:r w:rsidRPr="002F777B">
        <w:rPr>
          <w:rFonts w:ascii="Arial" w:eastAsia="Cambria" w:hAnsi="Arial" w:cs="Arial"/>
          <w:szCs w:val="24"/>
        </w:rPr>
        <w:t xml:space="preserve">CDNA </w:t>
      </w:r>
      <w:r w:rsidR="00996A3C">
        <w:rPr>
          <w:rFonts w:ascii="Arial" w:eastAsia="Cambria" w:hAnsi="Arial" w:cs="Arial"/>
          <w:szCs w:val="24"/>
        </w:rPr>
        <w:t xml:space="preserve">is </w:t>
      </w:r>
      <w:r w:rsidRPr="002F777B">
        <w:rPr>
          <w:rFonts w:ascii="Arial" w:eastAsia="Cambria" w:hAnsi="Arial" w:cs="Arial"/>
          <w:szCs w:val="24"/>
        </w:rPr>
        <w:t>examin</w:t>
      </w:r>
      <w:r w:rsidR="00996A3C">
        <w:rPr>
          <w:rFonts w:ascii="Arial" w:eastAsia="Cambria" w:hAnsi="Arial" w:cs="Arial"/>
          <w:szCs w:val="24"/>
        </w:rPr>
        <w:t>ing</w:t>
      </w:r>
      <w:r w:rsidRPr="002F777B">
        <w:rPr>
          <w:rFonts w:ascii="Arial" w:eastAsia="Cambria" w:hAnsi="Arial" w:cs="Arial"/>
          <w:szCs w:val="24"/>
        </w:rPr>
        <w:t xml:space="preserve"> whether it is necessary to change the current CDNA guideline which does not </w:t>
      </w:r>
      <w:r w:rsidRPr="002F777B">
        <w:rPr>
          <w:rFonts w:ascii="Arial" w:eastAsia="Cambria" w:hAnsi="Arial" w:cs="Arial"/>
          <w:szCs w:val="24"/>
        </w:rPr>
        <w:lastRenderedPageBreak/>
        <w:t xml:space="preserve">allow a practitioner with HIV to </w:t>
      </w:r>
      <w:r w:rsidR="00E46CB7">
        <w:rPr>
          <w:rFonts w:ascii="Arial" w:eastAsia="Cambria" w:hAnsi="Arial" w:cs="Arial"/>
          <w:szCs w:val="24"/>
        </w:rPr>
        <w:t>perform</w:t>
      </w:r>
      <w:r w:rsidRPr="002F777B">
        <w:rPr>
          <w:rFonts w:ascii="Arial" w:eastAsia="Cambria" w:hAnsi="Arial" w:cs="Arial"/>
          <w:szCs w:val="24"/>
        </w:rPr>
        <w:t xml:space="preserve"> </w:t>
      </w:r>
      <w:r>
        <w:rPr>
          <w:rFonts w:ascii="Arial" w:eastAsia="Cambria" w:hAnsi="Arial" w:cs="Arial"/>
          <w:szCs w:val="24"/>
        </w:rPr>
        <w:t>exposure prone procedures</w:t>
      </w:r>
      <w:r w:rsidRPr="002F777B">
        <w:rPr>
          <w:rFonts w:ascii="Arial" w:eastAsia="Cambria" w:hAnsi="Arial" w:cs="Arial"/>
          <w:szCs w:val="24"/>
        </w:rPr>
        <w:t xml:space="preserve">, regardless of treatment or viral load.  </w:t>
      </w:r>
      <w:r w:rsidR="00CA6E99">
        <w:rPr>
          <w:rFonts w:ascii="Arial" w:eastAsia="Cambria" w:hAnsi="Arial" w:cs="Arial"/>
          <w:szCs w:val="24"/>
        </w:rPr>
        <w:t xml:space="preserve">Under the </w:t>
      </w:r>
      <w:r w:rsidR="009D6085">
        <w:rPr>
          <w:rFonts w:ascii="Arial" w:eastAsia="Cambria" w:hAnsi="Arial" w:cs="Arial"/>
          <w:szCs w:val="24"/>
        </w:rPr>
        <w:t xml:space="preserve">National </w:t>
      </w:r>
      <w:r w:rsidR="00D608ED">
        <w:rPr>
          <w:rFonts w:ascii="Arial" w:eastAsia="Cambria" w:hAnsi="Arial" w:cs="Arial"/>
          <w:szCs w:val="24"/>
        </w:rPr>
        <w:t xml:space="preserve">Boards’ </w:t>
      </w:r>
      <w:r w:rsidR="00CA6E99">
        <w:rPr>
          <w:rFonts w:ascii="Arial" w:eastAsia="Cambria" w:hAnsi="Arial" w:cs="Arial"/>
          <w:szCs w:val="24"/>
        </w:rPr>
        <w:t>proposed guideline</w:t>
      </w:r>
      <w:r w:rsidR="00C52AF4">
        <w:rPr>
          <w:rFonts w:ascii="Arial" w:eastAsia="Cambria" w:hAnsi="Arial" w:cs="Arial"/>
          <w:szCs w:val="24"/>
        </w:rPr>
        <w:t>s</w:t>
      </w:r>
      <w:r w:rsidR="00CA6E99">
        <w:rPr>
          <w:rFonts w:ascii="Arial" w:eastAsia="Cambria" w:hAnsi="Arial" w:cs="Arial"/>
          <w:szCs w:val="24"/>
        </w:rPr>
        <w:t>, any changes made to the CDNA guidelines would take immediate effect through the Boards guidelines</w:t>
      </w:r>
      <w:r w:rsidR="009D6085">
        <w:rPr>
          <w:rFonts w:ascii="Arial" w:eastAsia="Cambria" w:hAnsi="Arial" w:cs="Arial"/>
          <w:szCs w:val="24"/>
        </w:rPr>
        <w:t xml:space="preserve">. </w:t>
      </w:r>
    </w:p>
    <w:p w:rsidR="00935D8F" w:rsidRDefault="00935D8F" w:rsidP="00935D8F">
      <w:pPr>
        <w:pStyle w:val="NormalWeb"/>
        <w:spacing w:before="2" w:after="2"/>
        <w:rPr>
          <w:rFonts w:ascii="Arial" w:eastAsia="Cambria" w:hAnsi="Arial" w:cs="Arial"/>
          <w:szCs w:val="24"/>
        </w:rPr>
      </w:pPr>
    </w:p>
    <w:p w:rsidR="009D5E19" w:rsidRDefault="009D5E19" w:rsidP="009D5E19">
      <w:pPr>
        <w:pStyle w:val="NormalWeb"/>
        <w:numPr>
          <w:ilvl w:val="0"/>
          <w:numId w:val="6"/>
        </w:numPr>
        <w:spacing w:before="2" w:after="2"/>
        <w:rPr>
          <w:rFonts w:ascii="Arial" w:eastAsia="Cambria" w:hAnsi="Arial" w:cs="Arial"/>
          <w:szCs w:val="24"/>
        </w:rPr>
      </w:pPr>
      <w:r>
        <w:rPr>
          <w:rFonts w:ascii="Arial" w:eastAsia="Cambria" w:hAnsi="Arial" w:cs="Arial"/>
          <w:szCs w:val="24"/>
        </w:rPr>
        <w:t xml:space="preserve">The </w:t>
      </w:r>
      <w:r w:rsidR="009D6085">
        <w:rPr>
          <w:rFonts w:ascii="Arial" w:eastAsia="Cambria" w:hAnsi="Arial" w:cs="Arial"/>
          <w:szCs w:val="24"/>
        </w:rPr>
        <w:t xml:space="preserve">National </w:t>
      </w:r>
      <w:r>
        <w:rPr>
          <w:rFonts w:ascii="Arial" w:eastAsia="Cambria" w:hAnsi="Arial" w:cs="Arial"/>
          <w:szCs w:val="24"/>
        </w:rPr>
        <w:t xml:space="preserve">Boards have not issued guidelines on the management of practitioners with any other specific health conditions.  </w:t>
      </w:r>
      <w:r w:rsidR="009D6085">
        <w:rPr>
          <w:rFonts w:ascii="Arial" w:eastAsia="Cambria" w:hAnsi="Arial" w:cs="Arial"/>
          <w:szCs w:val="24"/>
        </w:rPr>
        <w:t xml:space="preserve">They </w:t>
      </w:r>
      <w:r>
        <w:rPr>
          <w:rFonts w:ascii="Arial" w:eastAsia="Cambria" w:hAnsi="Arial" w:cs="Arial"/>
          <w:szCs w:val="24"/>
        </w:rPr>
        <w:t xml:space="preserve">rely on the clinical expertise of </w:t>
      </w:r>
      <w:r w:rsidR="00935D8F">
        <w:rPr>
          <w:rFonts w:ascii="Arial" w:eastAsia="Cambria" w:hAnsi="Arial" w:cs="Arial"/>
          <w:szCs w:val="24"/>
        </w:rPr>
        <w:t>independent</w:t>
      </w:r>
      <w:r>
        <w:rPr>
          <w:rFonts w:ascii="Arial" w:eastAsia="Cambria" w:hAnsi="Arial" w:cs="Arial"/>
          <w:szCs w:val="24"/>
        </w:rPr>
        <w:t xml:space="preserve"> experts.  The way that the </w:t>
      </w:r>
      <w:r w:rsidR="009D6085">
        <w:rPr>
          <w:rFonts w:ascii="Arial" w:eastAsia="Cambria" w:hAnsi="Arial" w:cs="Arial"/>
          <w:szCs w:val="24"/>
        </w:rPr>
        <w:t xml:space="preserve">National </w:t>
      </w:r>
      <w:r>
        <w:rPr>
          <w:rFonts w:ascii="Arial" w:eastAsia="Cambria" w:hAnsi="Arial" w:cs="Arial"/>
          <w:szCs w:val="24"/>
        </w:rPr>
        <w:t xml:space="preserve">Boards are </w:t>
      </w:r>
      <w:r w:rsidR="006A10E7">
        <w:rPr>
          <w:rFonts w:ascii="Arial" w:eastAsia="Cambria" w:hAnsi="Arial" w:cs="Arial"/>
          <w:szCs w:val="24"/>
        </w:rPr>
        <w:t xml:space="preserve">proposing to </w:t>
      </w:r>
      <w:r w:rsidR="009D6085">
        <w:rPr>
          <w:rFonts w:ascii="Arial" w:eastAsia="Cambria" w:hAnsi="Arial" w:cs="Arial"/>
          <w:szCs w:val="24"/>
        </w:rPr>
        <w:t>manage</w:t>
      </w:r>
      <w:r>
        <w:rPr>
          <w:rFonts w:ascii="Arial" w:eastAsia="Cambria" w:hAnsi="Arial" w:cs="Arial"/>
          <w:szCs w:val="24"/>
        </w:rPr>
        <w:t xml:space="preserve"> practitioners who are infected with a blood-borne virus</w:t>
      </w:r>
      <w:r w:rsidR="006A10E7">
        <w:rPr>
          <w:rFonts w:ascii="Arial" w:eastAsia="Cambria" w:hAnsi="Arial" w:cs="Arial"/>
          <w:szCs w:val="24"/>
        </w:rPr>
        <w:t xml:space="preserve"> is</w:t>
      </w:r>
      <w:r>
        <w:rPr>
          <w:rFonts w:ascii="Arial" w:eastAsia="Cambria" w:hAnsi="Arial" w:cs="Arial"/>
          <w:szCs w:val="24"/>
        </w:rPr>
        <w:t xml:space="preserve"> therefore</w:t>
      </w:r>
      <w:r w:rsidR="006A10E7">
        <w:rPr>
          <w:rFonts w:ascii="Arial" w:eastAsia="Cambria" w:hAnsi="Arial" w:cs="Arial"/>
          <w:szCs w:val="24"/>
        </w:rPr>
        <w:t xml:space="preserve"> consistent with</w:t>
      </w:r>
      <w:r>
        <w:rPr>
          <w:rFonts w:ascii="Arial" w:eastAsia="Cambria" w:hAnsi="Arial" w:cs="Arial"/>
          <w:szCs w:val="24"/>
        </w:rPr>
        <w:t xml:space="preserve"> the way that </w:t>
      </w:r>
      <w:r w:rsidR="009D6085">
        <w:rPr>
          <w:rFonts w:ascii="Arial" w:eastAsia="Cambria" w:hAnsi="Arial" w:cs="Arial"/>
          <w:szCs w:val="24"/>
        </w:rPr>
        <w:t>they</w:t>
      </w:r>
      <w:r>
        <w:rPr>
          <w:rFonts w:ascii="Arial" w:eastAsia="Cambria" w:hAnsi="Arial" w:cs="Arial"/>
          <w:szCs w:val="24"/>
        </w:rPr>
        <w:t xml:space="preserve"> </w:t>
      </w:r>
      <w:r w:rsidR="009D6085">
        <w:rPr>
          <w:rFonts w:ascii="Arial" w:eastAsia="Cambria" w:hAnsi="Arial" w:cs="Arial"/>
          <w:szCs w:val="24"/>
        </w:rPr>
        <w:t>manage</w:t>
      </w:r>
      <w:r>
        <w:rPr>
          <w:rFonts w:ascii="Arial" w:eastAsia="Cambria" w:hAnsi="Arial" w:cs="Arial"/>
          <w:szCs w:val="24"/>
        </w:rPr>
        <w:t xml:space="preserve"> practitioners with any other health condition, including mental health issues</w:t>
      </w:r>
      <w:r w:rsidR="006A10E7">
        <w:rPr>
          <w:rFonts w:ascii="Arial" w:eastAsia="Cambria" w:hAnsi="Arial" w:cs="Arial"/>
          <w:szCs w:val="24"/>
        </w:rPr>
        <w:t>, substance abuse</w:t>
      </w:r>
      <w:r>
        <w:rPr>
          <w:rFonts w:ascii="Arial" w:eastAsia="Cambria" w:hAnsi="Arial" w:cs="Arial"/>
          <w:szCs w:val="24"/>
        </w:rPr>
        <w:t xml:space="preserve"> and other physical impairments.</w:t>
      </w:r>
    </w:p>
    <w:p w:rsidR="00F67074" w:rsidRDefault="00F67074" w:rsidP="00F67074">
      <w:pPr>
        <w:pStyle w:val="NormalWeb"/>
        <w:spacing w:before="2" w:after="2"/>
        <w:ind w:left="360"/>
        <w:rPr>
          <w:rFonts w:ascii="Arial" w:eastAsia="Cambria" w:hAnsi="Arial" w:cs="Arial"/>
          <w:szCs w:val="24"/>
        </w:rPr>
      </w:pPr>
    </w:p>
    <w:p w:rsidR="002949DD" w:rsidRDefault="007836FD" w:rsidP="007836FD">
      <w:pPr>
        <w:pStyle w:val="NormalWeb"/>
        <w:spacing w:before="2" w:after="2"/>
        <w:rPr>
          <w:rFonts w:ascii="Arial" w:hAnsi="Arial"/>
        </w:rPr>
      </w:pPr>
      <w:r>
        <w:rPr>
          <w:rFonts w:ascii="Arial" w:hAnsi="Arial"/>
        </w:rPr>
        <w:t>The</w:t>
      </w:r>
      <w:r w:rsidR="00F67074">
        <w:rPr>
          <w:rFonts w:ascii="Arial" w:hAnsi="Arial"/>
        </w:rPr>
        <w:t xml:space="preserve">se guidelines focus on the regulatory response </w:t>
      </w:r>
      <w:r>
        <w:rPr>
          <w:rFonts w:ascii="Arial" w:hAnsi="Arial"/>
        </w:rPr>
        <w:t>to a practitioner who is infected with a blood borne viru</w:t>
      </w:r>
      <w:r w:rsidR="00F67074">
        <w:rPr>
          <w:rFonts w:ascii="Arial" w:hAnsi="Arial"/>
        </w:rPr>
        <w:t xml:space="preserve">s.  This will give practitioners and </w:t>
      </w:r>
      <w:r w:rsidR="00935D8F">
        <w:rPr>
          <w:rFonts w:ascii="Arial" w:hAnsi="Arial"/>
        </w:rPr>
        <w:t xml:space="preserve">their </w:t>
      </w:r>
      <w:r w:rsidR="00F67074">
        <w:rPr>
          <w:rFonts w:ascii="Arial" w:hAnsi="Arial"/>
        </w:rPr>
        <w:t xml:space="preserve">treating </w:t>
      </w:r>
      <w:r w:rsidR="002C6139">
        <w:rPr>
          <w:rFonts w:ascii="Arial" w:hAnsi="Arial"/>
        </w:rPr>
        <w:t>practitioners,</w:t>
      </w:r>
      <w:r w:rsidR="00F67074">
        <w:rPr>
          <w:rFonts w:ascii="Arial" w:hAnsi="Arial"/>
        </w:rPr>
        <w:t xml:space="preserve"> information </w:t>
      </w:r>
      <w:r w:rsidR="009D6085">
        <w:rPr>
          <w:rFonts w:ascii="Arial" w:hAnsi="Arial"/>
        </w:rPr>
        <w:t xml:space="preserve">about </w:t>
      </w:r>
      <w:r w:rsidR="00F67074">
        <w:rPr>
          <w:rFonts w:ascii="Arial" w:hAnsi="Arial"/>
        </w:rPr>
        <w:t xml:space="preserve">how </w:t>
      </w:r>
      <w:r w:rsidR="002C6139">
        <w:rPr>
          <w:rFonts w:ascii="Arial" w:hAnsi="Arial"/>
        </w:rPr>
        <w:t>a</w:t>
      </w:r>
      <w:r w:rsidR="00F67074">
        <w:rPr>
          <w:rFonts w:ascii="Arial" w:hAnsi="Arial"/>
        </w:rPr>
        <w:t xml:space="preserve"> Board is likely to manage a notification about a practitioner who is infected with a blood-borne virus.</w:t>
      </w:r>
    </w:p>
    <w:p w:rsidR="00152836" w:rsidRDefault="00152836" w:rsidP="00152836">
      <w:pPr>
        <w:pStyle w:val="NormalWeb"/>
        <w:spacing w:before="2" w:after="2"/>
        <w:rPr>
          <w:rFonts w:ascii="Arial" w:hAnsi="Arial"/>
          <w:b/>
        </w:rPr>
      </w:pPr>
    </w:p>
    <w:p w:rsidR="0030647E" w:rsidRDefault="00152836">
      <w:pPr>
        <w:pStyle w:val="AHPRASubhead"/>
      </w:pPr>
      <w:r w:rsidRPr="00507272">
        <w:t>Is infection with a blood-borne virus an ‘impairment’ under the National Law?</w:t>
      </w:r>
    </w:p>
    <w:p w:rsidR="00152836" w:rsidRDefault="00152836" w:rsidP="00152836">
      <w:pPr>
        <w:pStyle w:val="NormalWeb"/>
        <w:spacing w:before="2" w:after="2"/>
        <w:rPr>
          <w:rFonts w:ascii="Arial" w:hAnsi="Arial"/>
        </w:rPr>
      </w:pPr>
      <w:r>
        <w:rPr>
          <w:rFonts w:ascii="Arial" w:hAnsi="Arial"/>
        </w:rPr>
        <w:t>Impairment under the National Law</w:t>
      </w:r>
      <w:r>
        <w:rPr>
          <w:rStyle w:val="FootnoteReference"/>
          <w:rFonts w:ascii="Arial" w:hAnsi="Arial"/>
        </w:rPr>
        <w:footnoteReference w:id="3"/>
      </w:r>
      <w:r>
        <w:rPr>
          <w:rFonts w:ascii="Arial" w:hAnsi="Arial"/>
        </w:rPr>
        <w:t xml:space="preserve"> is defined as:</w:t>
      </w:r>
    </w:p>
    <w:p w:rsidR="00152836" w:rsidRDefault="00152836" w:rsidP="00152836">
      <w:pPr>
        <w:pStyle w:val="NormalWeb"/>
        <w:spacing w:before="2" w:after="2"/>
        <w:rPr>
          <w:rFonts w:ascii="Arial" w:hAnsi="Arial"/>
        </w:rPr>
      </w:pPr>
    </w:p>
    <w:p w:rsidR="00152836" w:rsidRPr="00951FB2" w:rsidRDefault="00152836" w:rsidP="00152836">
      <w:pPr>
        <w:autoSpaceDE w:val="0"/>
        <w:autoSpaceDN w:val="0"/>
        <w:adjustRightInd w:val="0"/>
        <w:spacing w:after="120"/>
        <w:ind w:left="284"/>
        <w:rPr>
          <w:rFonts w:ascii="Arial" w:hAnsi="Arial"/>
          <w:i/>
          <w:sz w:val="20"/>
          <w:szCs w:val="20"/>
        </w:rPr>
      </w:pPr>
      <w:r w:rsidRPr="00951FB2">
        <w:rPr>
          <w:rFonts w:ascii="Arial" w:hAnsi="Arial"/>
          <w:i/>
          <w:sz w:val="20"/>
          <w:szCs w:val="20"/>
        </w:rPr>
        <w:t>in relation to a person, means the person has a physical or mental impairment, disability, condition or disorder (including substance abuse or dependence) that detrimentally affects or is likely to detrimentally affect—</w:t>
      </w:r>
    </w:p>
    <w:p w:rsidR="00152836" w:rsidRPr="00951FB2" w:rsidRDefault="00152836" w:rsidP="00152836">
      <w:pPr>
        <w:autoSpaceDE w:val="0"/>
        <w:autoSpaceDN w:val="0"/>
        <w:adjustRightInd w:val="0"/>
        <w:spacing w:after="0"/>
        <w:ind w:left="993" w:hanging="425"/>
        <w:rPr>
          <w:rFonts w:ascii="Arial" w:hAnsi="Arial"/>
          <w:i/>
          <w:sz w:val="20"/>
          <w:szCs w:val="20"/>
        </w:rPr>
      </w:pPr>
      <w:r w:rsidRPr="00951FB2">
        <w:rPr>
          <w:rFonts w:ascii="Arial" w:hAnsi="Arial"/>
          <w:i/>
          <w:sz w:val="20"/>
          <w:szCs w:val="20"/>
        </w:rPr>
        <w:t xml:space="preserve">(a) </w:t>
      </w:r>
      <w:r w:rsidRPr="00951FB2">
        <w:rPr>
          <w:rFonts w:ascii="Arial" w:hAnsi="Arial"/>
          <w:i/>
          <w:sz w:val="20"/>
          <w:szCs w:val="20"/>
        </w:rPr>
        <w:tab/>
        <w:t>for a registered health practitioner or an applicant for registration in a health profession, the person’s capacity to practise the profession; or</w:t>
      </w:r>
    </w:p>
    <w:p w:rsidR="00152836" w:rsidRPr="00951FB2" w:rsidRDefault="00152836" w:rsidP="00152836">
      <w:pPr>
        <w:tabs>
          <w:tab w:val="left" w:pos="993"/>
        </w:tabs>
        <w:autoSpaceDE w:val="0"/>
        <w:autoSpaceDN w:val="0"/>
        <w:adjustRightInd w:val="0"/>
        <w:spacing w:after="0"/>
        <w:ind w:left="568" w:hanging="1134"/>
        <w:rPr>
          <w:rFonts w:ascii="Arial" w:hAnsi="Arial"/>
          <w:i/>
          <w:sz w:val="20"/>
          <w:szCs w:val="20"/>
        </w:rPr>
      </w:pPr>
      <w:r w:rsidRPr="00951FB2">
        <w:rPr>
          <w:rFonts w:ascii="Arial" w:hAnsi="Arial"/>
          <w:i/>
          <w:sz w:val="20"/>
          <w:szCs w:val="20"/>
        </w:rPr>
        <w:tab/>
        <w:t xml:space="preserve">(b) </w:t>
      </w:r>
      <w:r w:rsidRPr="00951FB2">
        <w:rPr>
          <w:rFonts w:ascii="Arial" w:hAnsi="Arial"/>
          <w:i/>
          <w:sz w:val="20"/>
          <w:szCs w:val="20"/>
        </w:rPr>
        <w:tab/>
        <w:t>for a student, the student’s capacity to undertake clinical training—</w:t>
      </w:r>
    </w:p>
    <w:p w:rsidR="00152836" w:rsidRPr="00951FB2" w:rsidRDefault="00152836" w:rsidP="00152836">
      <w:pPr>
        <w:tabs>
          <w:tab w:val="left" w:pos="993"/>
        </w:tabs>
        <w:autoSpaceDE w:val="0"/>
        <w:autoSpaceDN w:val="0"/>
        <w:adjustRightInd w:val="0"/>
        <w:spacing w:after="0"/>
        <w:rPr>
          <w:rFonts w:ascii="Arial" w:hAnsi="Arial"/>
          <w:i/>
          <w:sz w:val="20"/>
          <w:szCs w:val="20"/>
        </w:rPr>
      </w:pPr>
      <w:r w:rsidRPr="00951FB2">
        <w:rPr>
          <w:rFonts w:ascii="Arial" w:hAnsi="Arial"/>
          <w:i/>
          <w:sz w:val="20"/>
          <w:szCs w:val="20"/>
        </w:rPr>
        <w:tab/>
        <w:t xml:space="preserve">(i) </w:t>
      </w:r>
      <w:r w:rsidRPr="00951FB2">
        <w:rPr>
          <w:rFonts w:ascii="Arial" w:hAnsi="Arial"/>
          <w:i/>
          <w:sz w:val="20"/>
          <w:szCs w:val="20"/>
        </w:rPr>
        <w:tab/>
        <w:t>as part of the approved program of study in which the student is enrolled; or</w:t>
      </w:r>
    </w:p>
    <w:p w:rsidR="00152836" w:rsidRPr="00951FB2" w:rsidRDefault="00152836" w:rsidP="00152836">
      <w:pPr>
        <w:tabs>
          <w:tab w:val="left" w:pos="993"/>
        </w:tabs>
        <w:autoSpaceDE w:val="0"/>
        <w:autoSpaceDN w:val="0"/>
        <w:adjustRightInd w:val="0"/>
        <w:spacing w:after="0"/>
        <w:rPr>
          <w:rFonts w:ascii="Arial" w:hAnsi="Arial"/>
          <w:i/>
          <w:sz w:val="20"/>
          <w:szCs w:val="20"/>
        </w:rPr>
      </w:pPr>
      <w:r w:rsidRPr="00951FB2">
        <w:rPr>
          <w:rFonts w:ascii="Arial" w:hAnsi="Arial"/>
          <w:i/>
          <w:sz w:val="20"/>
          <w:szCs w:val="20"/>
        </w:rPr>
        <w:tab/>
        <w:t xml:space="preserve">(ii) </w:t>
      </w:r>
      <w:r w:rsidRPr="00951FB2">
        <w:rPr>
          <w:rFonts w:ascii="Arial" w:hAnsi="Arial"/>
          <w:i/>
          <w:sz w:val="20"/>
          <w:szCs w:val="20"/>
        </w:rPr>
        <w:tab/>
        <w:t>arranged by an education provider.</w:t>
      </w:r>
    </w:p>
    <w:p w:rsidR="00152836" w:rsidRDefault="00152836" w:rsidP="00152836">
      <w:pPr>
        <w:pStyle w:val="NormalWeb"/>
        <w:spacing w:before="2" w:after="2"/>
        <w:rPr>
          <w:rFonts w:ascii="Arial" w:eastAsia="Times New Roman" w:hAnsi="Arial"/>
        </w:rPr>
      </w:pPr>
    </w:p>
    <w:p w:rsidR="00152836" w:rsidRDefault="00152836" w:rsidP="00152836">
      <w:pPr>
        <w:pStyle w:val="NormalWeb"/>
        <w:spacing w:before="2" w:after="2"/>
        <w:rPr>
          <w:rFonts w:ascii="Arial" w:eastAsia="Times New Roman" w:hAnsi="Arial"/>
        </w:rPr>
      </w:pPr>
      <w:r>
        <w:rPr>
          <w:rFonts w:ascii="Arial" w:eastAsia="Times New Roman" w:hAnsi="Arial"/>
        </w:rPr>
        <w:t>The definition requires that the person has a disability, condition or disorder such as infection with a blood-borne virus AND that infection affects or is likely to detrimentally affect their capacity to practise (if they are a practitioner)</w:t>
      </w:r>
      <w:r w:rsidR="009D6085">
        <w:rPr>
          <w:rFonts w:ascii="Arial" w:eastAsia="Times New Roman" w:hAnsi="Arial"/>
        </w:rPr>
        <w:t>,</w:t>
      </w:r>
      <w:r>
        <w:rPr>
          <w:rFonts w:ascii="Arial" w:eastAsia="Times New Roman" w:hAnsi="Arial"/>
        </w:rPr>
        <w:t xml:space="preserve"> or their capacity to undertake clinical training (if they are a student).  </w:t>
      </w:r>
    </w:p>
    <w:p w:rsidR="00152836" w:rsidRDefault="00152836" w:rsidP="00152836">
      <w:pPr>
        <w:pStyle w:val="NormalWeb"/>
        <w:spacing w:before="2" w:after="2"/>
        <w:rPr>
          <w:rFonts w:ascii="Arial" w:eastAsia="Times New Roman" w:hAnsi="Arial"/>
        </w:rPr>
      </w:pPr>
    </w:p>
    <w:p w:rsidR="00152836" w:rsidRPr="00951FB2" w:rsidRDefault="00152836" w:rsidP="00152836">
      <w:pPr>
        <w:pStyle w:val="NormalWeb"/>
        <w:spacing w:before="2" w:after="2"/>
        <w:rPr>
          <w:rFonts w:ascii="Arial" w:eastAsia="Times New Roman" w:hAnsi="Arial"/>
        </w:rPr>
      </w:pPr>
      <w:r>
        <w:rPr>
          <w:rFonts w:ascii="Arial" w:eastAsia="Times New Roman" w:hAnsi="Arial"/>
        </w:rPr>
        <w:t xml:space="preserve">As long as a practitioner with a blood-borne virus is complying with the </w:t>
      </w:r>
      <w:r w:rsidR="00166CC1">
        <w:rPr>
          <w:rFonts w:ascii="Arial" w:eastAsia="Times New Roman" w:hAnsi="Arial"/>
        </w:rPr>
        <w:t>CDNA</w:t>
      </w:r>
      <w:r>
        <w:rPr>
          <w:rFonts w:ascii="Arial" w:eastAsia="Times New Roman" w:hAnsi="Arial"/>
        </w:rPr>
        <w:t xml:space="preserve"> guidelines, they are not putting the public at risk</w:t>
      </w:r>
      <w:r w:rsidR="009D6085">
        <w:rPr>
          <w:rFonts w:ascii="Arial" w:eastAsia="Times New Roman" w:hAnsi="Arial"/>
        </w:rPr>
        <w:t xml:space="preserve">, </w:t>
      </w:r>
      <w:r>
        <w:rPr>
          <w:rFonts w:ascii="Arial" w:eastAsia="Times New Roman" w:hAnsi="Arial"/>
        </w:rPr>
        <w:t>their capacity to practise the profession is not affected</w:t>
      </w:r>
      <w:r w:rsidR="009D6085">
        <w:rPr>
          <w:rFonts w:ascii="Arial" w:eastAsia="Times New Roman" w:hAnsi="Arial"/>
        </w:rPr>
        <w:t xml:space="preserve"> and they </w:t>
      </w:r>
      <w:r>
        <w:rPr>
          <w:rFonts w:ascii="Arial" w:eastAsia="Times New Roman" w:hAnsi="Arial"/>
        </w:rPr>
        <w:t>are not considered to be ‘impaired’</w:t>
      </w:r>
      <w:r w:rsidR="009D6085">
        <w:rPr>
          <w:rFonts w:ascii="Arial" w:eastAsia="Times New Roman" w:hAnsi="Arial"/>
        </w:rPr>
        <w:t xml:space="preserve">. Therefore, they are </w:t>
      </w:r>
      <w:r w:rsidR="001652E7">
        <w:rPr>
          <w:rFonts w:ascii="Arial" w:eastAsia="Times New Roman" w:hAnsi="Arial"/>
        </w:rPr>
        <w:t>unlikely to</w:t>
      </w:r>
      <w:r>
        <w:rPr>
          <w:rFonts w:ascii="Arial" w:eastAsia="Times New Roman" w:hAnsi="Arial"/>
        </w:rPr>
        <w:t xml:space="preserve"> meet the threshold for Board action. </w:t>
      </w:r>
    </w:p>
    <w:p w:rsidR="007836FD" w:rsidRDefault="007836FD" w:rsidP="003D622B">
      <w:pPr>
        <w:pStyle w:val="NormalWeb"/>
        <w:spacing w:before="2" w:after="2"/>
        <w:rPr>
          <w:rFonts w:ascii="Arial" w:hAnsi="Arial"/>
        </w:rPr>
      </w:pPr>
    </w:p>
    <w:p w:rsidR="00810FE6" w:rsidRDefault="00A25C97" w:rsidP="002949DD">
      <w:pPr>
        <w:pStyle w:val="AHPRASubhead"/>
      </w:pPr>
      <w:r w:rsidRPr="00A25C97">
        <w:t>I</w:t>
      </w:r>
      <w:r w:rsidR="00810FE6" w:rsidRPr="00A25C97">
        <w:t>ssues that arose during preliminary consultation</w:t>
      </w:r>
    </w:p>
    <w:p w:rsidR="006A10E7" w:rsidRDefault="006A10E7" w:rsidP="002949DD">
      <w:pPr>
        <w:pStyle w:val="AHPRASubhead"/>
        <w:rPr>
          <w:rFonts w:eastAsiaTheme="minorHAnsi"/>
          <w:b w:val="0"/>
          <w:color w:val="auto"/>
          <w:szCs w:val="20"/>
          <w:lang w:val="en-AU"/>
        </w:rPr>
      </w:pPr>
      <w:r w:rsidRPr="006A10E7">
        <w:rPr>
          <w:rFonts w:eastAsiaTheme="minorHAnsi"/>
          <w:b w:val="0"/>
          <w:color w:val="auto"/>
          <w:szCs w:val="20"/>
          <w:lang w:val="en-AU"/>
        </w:rPr>
        <w:t>Th</w:t>
      </w:r>
      <w:r>
        <w:rPr>
          <w:rFonts w:eastAsiaTheme="minorHAnsi"/>
          <w:b w:val="0"/>
          <w:color w:val="auto"/>
          <w:szCs w:val="20"/>
          <w:lang w:val="en-AU"/>
        </w:rPr>
        <w:t xml:space="preserve">e </w:t>
      </w:r>
      <w:r w:rsidR="009D6085">
        <w:rPr>
          <w:rFonts w:eastAsiaTheme="minorHAnsi"/>
          <w:b w:val="0"/>
          <w:color w:val="auto"/>
          <w:szCs w:val="20"/>
          <w:lang w:val="en-AU"/>
        </w:rPr>
        <w:t xml:space="preserve">National </w:t>
      </w:r>
      <w:r>
        <w:rPr>
          <w:rFonts w:eastAsiaTheme="minorHAnsi"/>
          <w:b w:val="0"/>
          <w:color w:val="auto"/>
          <w:szCs w:val="20"/>
          <w:lang w:val="en-AU"/>
        </w:rPr>
        <w:t>Boards recognise that this consultation is likely to generate significant debate</w:t>
      </w:r>
      <w:r w:rsidR="009D6085">
        <w:rPr>
          <w:rFonts w:eastAsiaTheme="minorHAnsi"/>
          <w:b w:val="0"/>
          <w:color w:val="auto"/>
          <w:szCs w:val="20"/>
          <w:lang w:val="en-AU"/>
        </w:rPr>
        <w:t xml:space="preserve"> in the professions and the community</w:t>
      </w:r>
      <w:r>
        <w:rPr>
          <w:rFonts w:eastAsiaTheme="minorHAnsi"/>
          <w:b w:val="0"/>
          <w:color w:val="auto"/>
          <w:szCs w:val="20"/>
          <w:lang w:val="en-AU"/>
        </w:rPr>
        <w:t xml:space="preserve">.  The </w:t>
      </w:r>
      <w:r w:rsidR="009D6085">
        <w:rPr>
          <w:rFonts w:eastAsiaTheme="minorHAnsi"/>
          <w:b w:val="0"/>
          <w:color w:val="auto"/>
          <w:szCs w:val="20"/>
          <w:lang w:val="en-AU"/>
        </w:rPr>
        <w:t xml:space="preserve">National </w:t>
      </w:r>
      <w:r>
        <w:rPr>
          <w:rFonts w:eastAsiaTheme="minorHAnsi"/>
          <w:b w:val="0"/>
          <w:color w:val="auto"/>
          <w:szCs w:val="20"/>
          <w:lang w:val="en-AU"/>
        </w:rPr>
        <w:t>Boards welcome discussion</w:t>
      </w:r>
      <w:r w:rsidR="00282842">
        <w:rPr>
          <w:rFonts w:eastAsiaTheme="minorHAnsi"/>
          <w:b w:val="0"/>
          <w:color w:val="auto"/>
          <w:szCs w:val="20"/>
          <w:lang w:val="en-AU"/>
        </w:rPr>
        <w:t xml:space="preserve">, </w:t>
      </w:r>
      <w:r>
        <w:rPr>
          <w:rFonts w:eastAsiaTheme="minorHAnsi"/>
          <w:b w:val="0"/>
          <w:color w:val="auto"/>
          <w:szCs w:val="20"/>
          <w:lang w:val="en-AU"/>
        </w:rPr>
        <w:t>debate</w:t>
      </w:r>
      <w:r w:rsidR="00282842">
        <w:rPr>
          <w:rFonts w:eastAsiaTheme="minorHAnsi"/>
          <w:b w:val="0"/>
          <w:color w:val="auto"/>
          <w:szCs w:val="20"/>
          <w:lang w:val="en-AU"/>
        </w:rPr>
        <w:t xml:space="preserve"> and feedback</w:t>
      </w:r>
      <w:r>
        <w:rPr>
          <w:rFonts w:eastAsiaTheme="minorHAnsi"/>
          <w:b w:val="0"/>
          <w:color w:val="auto"/>
          <w:szCs w:val="20"/>
          <w:lang w:val="en-AU"/>
        </w:rPr>
        <w:t>.</w:t>
      </w:r>
    </w:p>
    <w:p w:rsidR="00282842" w:rsidRDefault="009D6085" w:rsidP="00282842">
      <w:pPr>
        <w:pStyle w:val="AHPRASubhead"/>
        <w:rPr>
          <w:rFonts w:eastAsiaTheme="minorHAnsi"/>
          <w:b w:val="0"/>
          <w:color w:val="auto"/>
          <w:szCs w:val="20"/>
          <w:lang w:val="en-AU"/>
        </w:rPr>
      </w:pPr>
      <w:r>
        <w:rPr>
          <w:rFonts w:eastAsiaTheme="minorHAnsi"/>
          <w:b w:val="0"/>
          <w:color w:val="auto"/>
          <w:szCs w:val="20"/>
          <w:lang w:val="en-AU"/>
        </w:rPr>
        <w:t xml:space="preserve">Consistent with the </w:t>
      </w:r>
      <w:r w:rsidR="0032562F">
        <w:rPr>
          <w:rFonts w:eastAsiaTheme="minorHAnsi"/>
          <w:b w:val="0"/>
          <w:color w:val="auto"/>
          <w:szCs w:val="20"/>
          <w:lang w:val="en-AU"/>
        </w:rPr>
        <w:t>published process for consultation by National Boards</w:t>
      </w:r>
      <w:r w:rsidR="0017316C">
        <w:rPr>
          <w:rFonts w:eastAsiaTheme="minorHAnsi"/>
          <w:b w:val="0"/>
          <w:color w:val="auto"/>
          <w:szCs w:val="20"/>
          <w:lang w:val="en-AU"/>
        </w:rPr>
        <w:t xml:space="preserve">, </w:t>
      </w:r>
      <w:r w:rsidR="0032562F">
        <w:rPr>
          <w:rFonts w:eastAsiaTheme="minorHAnsi"/>
          <w:b w:val="0"/>
          <w:color w:val="auto"/>
          <w:szCs w:val="20"/>
          <w:lang w:val="en-AU"/>
        </w:rPr>
        <w:t xml:space="preserve">the </w:t>
      </w:r>
      <w:r w:rsidR="0017316C">
        <w:rPr>
          <w:rFonts w:eastAsiaTheme="minorHAnsi"/>
          <w:b w:val="0"/>
          <w:color w:val="auto"/>
          <w:szCs w:val="20"/>
          <w:lang w:val="en-AU"/>
        </w:rPr>
        <w:t>d</w:t>
      </w:r>
      <w:r w:rsidR="0032562F">
        <w:rPr>
          <w:rFonts w:eastAsiaTheme="minorHAnsi"/>
          <w:b w:val="0"/>
          <w:color w:val="auto"/>
          <w:szCs w:val="20"/>
          <w:lang w:val="en-AU"/>
        </w:rPr>
        <w:t xml:space="preserve">raft guidelines </w:t>
      </w:r>
      <w:r w:rsidR="0017316C">
        <w:rPr>
          <w:rFonts w:eastAsiaTheme="minorHAnsi"/>
          <w:b w:val="0"/>
          <w:color w:val="auto"/>
          <w:szCs w:val="20"/>
          <w:lang w:val="en-AU"/>
        </w:rPr>
        <w:t xml:space="preserve">were provided </w:t>
      </w:r>
      <w:r w:rsidR="0032562F">
        <w:rPr>
          <w:rFonts w:eastAsiaTheme="minorHAnsi"/>
          <w:b w:val="0"/>
          <w:color w:val="auto"/>
          <w:szCs w:val="20"/>
          <w:lang w:val="en-AU"/>
        </w:rPr>
        <w:t xml:space="preserve">to </w:t>
      </w:r>
      <w:r w:rsidR="00282842">
        <w:rPr>
          <w:rFonts w:eastAsiaTheme="minorHAnsi"/>
          <w:b w:val="0"/>
          <w:color w:val="auto"/>
          <w:szCs w:val="20"/>
          <w:lang w:val="en-AU"/>
        </w:rPr>
        <w:t xml:space="preserve">a small group of stakeholders.  </w:t>
      </w:r>
      <w:r>
        <w:rPr>
          <w:rFonts w:eastAsiaTheme="minorHAnsi"/>
          <w:b w:val="0"/>
          <w:color w:val="auto"/>
          <w:szCs w:val="20"/>
          <w:lang w:val="en-AU"/>
        </w:rPr>
        <w:t xml:space="preserve">This </w:t>
      </w:r>
      <w:r w:rsidR="00282842">
        <w:rPr>
          <w:rFonts w:eastAsiaTheme="minorHAnsi"/>
          <w:b w:val="0"/>
          <w:color w:val="auto"/>
          <w:szCs w:val="20"/>
          <w:lang w:val="en-AU"/>
        </w:rPr>
        <w:t>enable</w:t>
      </w:r>
      <w:r w:rsidR="0032562F">
        <w:rPr>
          <w:rFonts w:eastAsiaTheme="minorHAnsi"/>
          <w:b w:val="0"/>
          <w:color w:val="auto"/>
          <w:szCs w:val="20"/>
          <w:lang w:val="en-AU"/>
        </w:rPr>
        <w:t>d</w:t>
      </w:r>
      <w:r w:rsidR="00282842">
        <w:rPr>
          <w:rFonts w:eastAsiaTheme="minorHAnsi"/>
          <w:b w:val="0"/>
          <w:color w:val="auto"/>
          <w:szCs w:val="20"/>
          <w:lang w:val="en-AU"/>
        </w:rPr>
        <w:t xml:space="preserve"> the Boards to </w:t>
      </w:r>
      <w:r w:rsidR="00282842" w:rsidRPr="00282842">
        <w:rPr>
          <w:rFonts w:eastAsiaTheme="minorHAnsi"/>
          <w:b w:val="0"/>
          <w:color w:val="auto"/>
          <w:szCs w:val="20"/>
          <w:lang w:val="en-AU"/>
        </w:rPr>
        <w:t>‘road test’ the proposed content ahead of a public consultation process</w:t>
      </w:r>
      <w:r w:rsidR="00282842">
        <w:rPr>
          <w:rFonts w:eastAsiaTheme="minorHAnsi"/>
          <w:b w:val="0"/>
          <w:color w:val="auto"/>
          <w:szCs w:val="20"/>
          <w:lang w:val="en-AU"/>
        </w:rPr>
        <w:t>.</w:t>
      </w:r>
    </w:p>
    <w:p w:rsidR="00D22184" w:rsidRDefault="00282842" w:rsidP="00282842">
      <w:pPr>
        <w:pStyle w:val="AHPRASubhead"/>
        <w:rPr>
          <w:rFonts w:eastAsiaTheme="minorHAnsi"/>
          <w:b w:val="0"/>
          <w:color w:val="auto"/>
          <w:szCs w:val="20"/>
          <w:lang w:val="en-AU"/>
        </w:rPr>
      </w:pPr>
      <w:r>
        <w:rPr>
          <w:rFonts w:eastAsiaTheme="minorHAnsi"/>
          <w:b w:val="0"/>
          <w:color w:val="auto"/>
          <w:szCs w:val="20"/>
          <w:lang w:val="en-AU"/>
        </w:rPr>
        <w:t>We received valuable feedback</w:t>
      </w:r>
      <w:r w:rsidR="0032562F">
        <w:rPr>
          <w:rFonts w:eastAsiaTheme="minorHAnsi"/>
          <w:b w:val="0"/>
          <w:color w:val="auto"/>
          <w:szCs w:val="20"/>
          <w:lang w:val="en-AU"/>
        </w:rPr>
        <w:t xml:space="preserve"> during preliminary consultation, including the advice to refer to </w:t>
      </w:r>
      <w:r w:rsidR="00D608ED" w:rsidRPr="0017316C">
        <w:rPr>
          <w:rFonts w:eastAsiaTheme="minorHAnsi"/>
          <w:b w:val="0"/>
          <w:color w:val="auto"/>
          <w:szCs w:val="20"/>
          <w:lang w:val="en-AU"/>
        </w:rPr>
        <w:t>the CDNA</w:t>
      </w:r>
      <w:r w:rsidR="0032562F" w:rsidRPr="0017316C">
        <w:rPr>
          <w:rFonts w:eastAsiaTheme="minorHAnsi"/>
          <w:b w:val="0"/>
          <w:color w:val="auto"/>
          <w:szCs w:val="20"/>
          <w:lang w:val="en-AU"/>
        </w:rPr>
        <w:t xml:space="preserve"> guidelines</w:t>
      </w:r>
      <w:r w:rsidR="0032562F">
        <w:rPr>
          <w:rFonts w:eastAsiaTheme="minorHAnsi"/>
          <w:b w:val="0"/>
          <w:color w:val="auto"/>
          <w:szCs w:val="20"/>
          <w:lang w:val="en-AU"/>
        </w:rPr>
        <w:t xml:space="preserve"> rather than trying to </w:t>
      </w:r>
      <w:r w:rsidR="00795504">
        <w:rPr>
          <w:rFonts w:eastAsiaTheme="minorHAnsi"/>
          <w:b w:val="0"/>
          <w:color w:val="auto"/>
          <w:szCs w:val="20"/>
          <w:lang w:val="en-AU"/>
        </w:rPr>
        <w:t xml:space="preserve">develop and </w:t>
      </w:r>
      <w:r w:rsidR="0032562F">
        <w:rPr>
          <w:rFonts w:eastAsiaTheme="minorHAnsi"/>
          <w:b w:val="0"/>
          <w:color w:val="auto"/>
          <w:szCs w:val="20"/>
          <w:lang w:val="en-AU"/>
        </w:rPr>
        <w:t xml:space="preserve">maintain a parallel set of consistent guidelines.  </w:t>
      </w:r>
      <w:r w:rsidR="00D22184">
        <w:rPr>
          <w:rFonts w:eastAsiaTheme="minorHAnsi"/>
          <w:b w:val="0"/>
          <w:color w:val="auto"/>
          <w:szCs w:val="20"/>
          <w:lang w:val="en-AU"/>
        </w:rPr>
        <w:t>That change has been incorporate</w:t>
      </w:r>
      <w:r w:rsidR="00CA6E99">
        <w:rPr>
          <w:rFonts w:eastAsiaTheme="minorHAnsi"/>
          <w:b w:val="0"/>
          <w:color w:val="auto"/>
          <w:szCs w:val="20"/>
          <w:lang w:val="en-AU"/>
        </w:rPr>
        <w:t>d</w:t>
      </w:r>
      <w:r w:rsidR="00D22184">
        <w:rPr>
          <w:rFonts w:eastAsiaTheme="minorHAnsi"/>
          <w:b w:val="0"/>
          <w:color w:val="auto"/>
          <w:szCs w:val="20"/>
          <w:lang w:val="en-AU"/>
        </w:rPr>
        <w:t xml:space="preserve"> into the current draft.</w:t>
      </w:r>
    </w:p>
    <w:p w:rsidR="0032562F" w:rsidRDefault="0032562F" w:rsidP="00282842">
      <w:pPr>
        <w:pStyle w:val="AHPRASubhead"/>
        <w:rPr>
          <w:rFonts w:eastAsiaTheme="minorHAnsi"/>
          <w:b w:val="0"/>
          <w:color w:val="auto"/>
          <w:szCs w:val="20"/>
          <w:lang w:val="en-AU"/>
        </w:rPr>
      </w:pPr>
      <w:r>
        <w:rPr>
          <w:rFonts w:eastAsiaTheme="minorHAnsi"/>
          <w:b w:val="0"/>
          <w:color w:val="auto"/>
          <w:szCs w:val="20"/>
          <w:lang w:val="en-AU"/>
        </w:rPr>
        <w:t xml:space="preserve">Some of the feedback that we received highlighted that issues </w:t>
      </w:r>
      <w:r w:rsidR="009D6085">
        <w:rPr>
          <w:rFonts w:eastAsiaTheme="minorHAnsi"/>
          <w:b w:val="0"/>
          <w:color w:val="auto"/>
          <w:szCs w:val="20"/>
          <w:lang w:val="en-AU"/>
        </w:rPr>
        <w:t xml:space="preserve">about </w:t>
      </w:r>
      <w:r>
        <w:rPr>
          <w:rFonts w:eastAsiaTheme="minorHAnsi"/>
          <w:b w:val="0"/>
          <w:color w:val="auto"/>
          <w:szCs w:val="20"/>
          <w:lang w:val="en-AU"/>
        </w:rPr>
        <w:t xml:space="preserve">infected practitioners are </w:t>
      </w:r>
      <w:r w:rsidR="00D22184">
        <w:rPr>
          <w:rFonts w:eastAsiaTheme="minorHAnsi"/>
          <w:b w:val="0"/>
          <w:color w:val="auto"/>
          <w:szCs w:val="20"/>
          <w:lang w:val="en-AU"/>
        </w:rPr>
        <w:t xml:space="preserve">contentious </w:t>
      </w:r>
      <w:r w:rsidR="002C6139">
        <w:rPr>
          <w:rFonts w:eastAsiaTheme="minorHAnsi"/>
          <w:b w:val="0"/>
          <w:color w:val="auto"/>
          <w:szCs w:val="20"/>
          <w:lang w:val="en-AU"/>
        </w:rPr>
        <w:t xml:space="preserve">and there is debate </w:t>
      </w:r>
      <w:r w:rsidR="003E5718">
        <w:rPr>
          <w:rFonts w:eastAsiaTheme="minorHAnsi"/>
          <w:b w:val="0"/>
          <w:color w:val="auto"/>
          <w:szCs w:val="20"/>
          <w:lang w:val="en-AU"/>
        </w:rPr>
        <w:t>about the degree of regulatory force</w:t>
      </w:r>
      <w:r>
        <w:rPr>
          <w:rFonts w:eastAsiaTheme="minorHAnsi"/>
          <w:b w:val="0"/>
          <w:color w:val="auto"/>
          <w:szCs w:val="20"/>
          <w:lang w:val="en-AU"/>
        </w:rPr>
        <w:t xml:space="preserve"> th</w:t>
      </w:r>
      <w:r w:rsidR="003E5718">
        <w:rPr>
          <w:rFonts w:eastAsiaTheme="minorHAnsi"/>
          <w:b w:val="0"/>
          <w:color w:val="auto"/>
          <w:szCs w:val="20"/>
          <w:lang w:val="en-AU"/>
        </w:rPr>
        <w:t>at th</w:t>
      </w:r>
      <w:r>
        <w:rPr>
          <w:rFonts w:eastAsiaTheme="minorHAnsi"/>
          <w:b w:val="0"/>
          <w:color w:val="auto"/>
          <w:szCs w:val="20"/>
          <w:lang w:val="en-AU"/>
        </w:rPr>
        <w:t>e Board</w:t>
      </w:r>
      <w:r w:rsidR="003E5718">
        <w:rPr>
          <w:rFonts w:eastAsiaTheme="minorHAnsi"/>
          <w:b w:val="0"/>
          <w:color w:val="auto"/>
          <w:szCs w:val="20"/>
          <w:lang w:val="en-AU"/>
        </w:rPr>
        <w:t>s</w:t>
      </w:r>
      <w:r>
        <w:rPr>
          <w:rFonts w:eastAsiaTheme="minorHAnsi"/>
          <w:b w:val="0"/>
          <w:color w:val="auto"/>
          <w:szCs w:val="20"/>
          <w:lang w:val="en-AU"/>
        </w:rPr>
        <w:t xml:space="preserve"> should</w:t>
      </w:r>
      <w:r w:rsidR="003E5718">
        <w:rPr>
          <w:rFonts w:eastAsiaTheme="minorHAnsi"/>
          <w:b w:val="0"/>
          <w:color w:val="auto"/>
          <w:szCs w:val="20"/>
          <w:lang w:val="en-AU"/>
        </w:rPr>
        <w:t xml:space="preserve"> use.  </w:t>
      </w:r>
    </w:p>
    <w:p w:rsidR="0044695E" w:rsidRPr="0044695E" w:rsidRDefault="00D22184" w:rsidP="0044695E">
      <w:pPr>
        <w:pStyle w:val="NormalWeb"/>
        <w:spacing w:before="2" w:after="2"/>
        <w:rPr>
          <w:rFonts w:ascii="Arial" w:hAnsi="Arial"/>
        </w:rPr>
      </w:pPr>
      <w:r>
        <w:rPr>
          <w:rFonts w:ascii="Arial" w:hAnsi="Arial"/>
        </w:rPr>
        <w:t xml:space="preserve">We have responded to the issues that were raised during the preliminary consultation as they are also likely to arise </w:t>
      </w:r>
      <w:r w:rsidR="009D6085">
        <w:rPr>
          <w:rFonts w:ascii="Arial" w:hAnsi="Arial"/>
        </w:rPr>
        <w:t>in this</w:t>
      </w:r>
      <w:r>
        <w:rPr>
          <w:rFonts w:ascii="Arial" w:hAnsi="Arial"/>
        </w:rPr>
        <w:t xml:space="preserve"> public consultation stage.  In responding, the Boards have t</w:t>
      </w:r>
      <w:r w:rsidR="002C6139">
        <w:rPr>
          <w:rFonts w:ascii="Arial" w:hAnsi="Arial"/>
        </w:rPr>
        <w:t>aken into consideration their</w:t>
      </w:r>
      <w:r w:rsidR="003E5718" w:rsidRPr="0044695E">
        <w:rPr>
          <w:rFonts w:ascii="Arial" w:hAnsi="Arial"/>
        </w:rPr>
        <w:t xml:space="preserve"> powers</w:t>
      </w:r>
      <w:r w:rsidR="001420FB">
        <w:rPr>
          <w:rFonts w:ascii="Arial" w:hAnsi="Arial"/>
        </w:rPr>
        <w:t xml:space="preserve"> and function</w:t>
      </w:r>
      <w:r w:rsidR="005C789D">
        <w:rPr>
          <w:rFonts w:ascii="Arial" w:hAnsi="Arial"/>
        </w:rPr>
        <w:t>s</w:t>
      </w:r>
      <w:r w:rsidR="001420FB">
        <w:rPr>
          <w:rFonts w:ascii="Arial" w:hAnsi="Arial"/>
        </w:rPr>
        <w:t xml:space="preserve"> under the National Law</w:t>
      </w:r>
      <w:r w:rsidR="002C6139">
        <w:rPr>
          <w:rFonts w:ascii="Arial" w:hAnsi="Arial"/>
        </w:rPr>
        <w:t xml:space="preserve">, </w:t>
      </w:r>
      <w:r w:rsidR="0044695E" w:rsidRPr="0044695E">
        <w:rPr>
          <w:rFonts w:ascii="Arial" w:hAnsi="Arial"/>
        </w:rPr>
        <w:t xml:space="preserve">the objectives and guiding principles of the National </w:t>
      </w:r>
      <w:r w:rsidR="0044695E" w:rsidRPr="0044695E">
        <w:rPr>
          <w:rFonts w:ascii="Arial" w:hAnsi="Arial"/>
        </w:rPr>
        <w:lastRenderedPageBreak/>
        <w:t>Registration and Accreditation Scheme</w:t>
      </w:r>
      <w:r w:rsidR="009D6085">
        <w:rPr>
          <w:rFonts w:ascii="Arial" w:hAnsi="Arial"/>
        </w:rPr>
        <w:t xml:space="preserve"> (National Scheme)</w:t>
      </w:r>
      <w:r w:rsidR="0044695E" w:rsidRPr="0044695E">
        <w:rPr>
          <w:rFonts w:ascii="Arial" w:hAnsi="Arial"/>
        </w:rPr>
        <w:t xml:space="preserve">, the Council of Australian Government (COAG) </w:t>
      </w:r>
      <w:r w:rsidR="000249FC" w:rsidRPr="0044695E">
        <w:rPr>
          <w:rFonts w:ascii="Arial" w:hAnsi="Arial"/>
        </w:rPr>
        <w:t>principles for best practice regulation</w:t>
      </w:r>
      <w:r w:rsidR="001420FB">
        <w:rPr>
          <w:rFonts w:ascii="Arial" w:hAnsi="Arial"/>
        </w:rPr>
        <w:t xml:space="preserve"> and</w:t>
      </w:r>
      <w:r w:rsidR="0044695E" w:rsidRPr="0044695E">
        <w:rPr>
          <w:rFonts w:ascii="Arial" w:hAnsi="Arial"/>
        </w:rPr>
        <w:t xml:space="preserve"> privacy legislation and principles.</w:t>
      </w:r>
    </w:p>
    <w:p w:rsidR="0044695E" w:rsidRDefault="0044695E" w:rsidP="00282842">
      <w:pPr>
        <w:pStyle w:val="AHPRASubhead"/>
        <w:rPr>
          <w:rFonts w:eastAsiaTheme="minorHAnsi"/>
          <w:color w:val="auto"/>
          <w:szCs w:val="20"/>
          <w:lang w:val="en-AU"/>
        </w:rPr>
      </w:pPr>
    </w:p>
    <w:p w:rsidR="00810FE6" w:rsidRPr="006E3AED" w:rsidRDefault="006E3AED" w:rsidP="00282842">
      <w:pPr>
        <w:pStyle w:val="AHPRASubhead"/>
        <w:rPr>
          <w:rFonts w:eastAsiaTheme="minorHAnsi"/>
          <w:color w:val="auto"/>
          <w:szCs w:val="20"/>
          <w:lang w:val="en-AU"/>
        </w:rPr>
      </w:pPr>
      <w:r w:rsidRPr="006E3AED">
        <w:rPr>
          <w:rFonts w:eastAsiaTheme="minorHAnsi"/>
          <w:color w:val="auto"/>
          <w:szCs w:val="20"/>
          <w:lang w:val="en-AU"/>
        </w:rPr>
        <w:t>The Boards’ role in monitoring compliance with guidelines</w:t>
      </w:r>
    </w:p>
    <w:p w:rsidR="006E3AED" w:rsidRPr="006E3AED" w:rsidRDefault="006E3AED" w:rsidP="002949DD">
      <w:pPr>
        <w:pStyle w:val="AHPRASubhead"/>
        <w:rPr>
          <w:rFonts w:eastAsiaTheme="minorHAnsi"/>
          <w:b w:val="0"/>
          <w:color w:val="auto"/>
          <w:szCs w:val="20"/>
          <w:lang w:val="en-AU"/>
        </w:rPr>
      </w:pPr>
      <w:r w:rsidRPr="006E3AED">
        <w:rPr>
          <w:rFonts w:eastAsiaTheme="minorHAnsi"/>
          <w:b w:val="0"/>
          <w:color w:val="auto"/>
          <w:szCs w:val="20"/>
          <w:lang w:val="en-AU"/>
        </w:rPr>
        <w:t>Some stakeholders expressed a view that the Boards should have a</w:t>
      </w:r>
      <w:r w:rsidR="002C6139">
        <w:rPr>
          <w:rFonts w:eastAsiaTheme="minorHAnsi"/>
          <w:b w:val="0"/>
          <w:color w:val="auto"/>
          <w:szCs w:val="20"/>
          <w:lang w:val="en-AU"/>
        </w:rPr>
        <w:t>n</w:t>
      </w:r>
      <w:r w:rsidRPr="006E3AED">
        <w:rPr>
          <w:rFonts w:eastAsiaTheme="minorHAnsi"/>
          <w:b w:val="0"/>
          <w:color w:val="auto"/>
          <w:szCs w:val="20"/>
          <w:lang w:val="en-AU"/>
        </w:rPr>
        <w:t xml:space="preserve"> active role in monitoring</w:t>
      </w:r>
      <w:r>
        <w:t xml:space="preserve"> </w:t>
      </w:r>
      <w:r w:rsidRPr="006E3AED">
        <w:rPr>
          <w:rFonts w:eastAsiaTheme="minorHAnsi"/>
          <w:b w:val="0"/>
          <w:color w:val="auto"/>
          <w:szCs w:val="20"/>
          <w:lang w:val="en-AU"/>
        </w:rPr>
        <w:t xml:space="preserve">compliance with </w:t>
      </w:r>
      <w:r w:rsidR="00C32D68">
        <w:rPr>
          <w:rFonts w:eastAsiaTheme="minorHAnsi"/>
          <w:b w:val="0"/>
          <w:color w:val="auto"/>
          <w:szCs w:val="20"/>
          <w:lang w:val="en-AU"/>
        </w:rPr>
        <w:t xml:space="preserve">the </w:t>
      </w:r>
      <w:r w:rsidRPr="006E3AED">
        <w:rPr>
          <w:rFonts w:eastAsiaTheme="minorHAnsi"/>
          <w:b w:val="0"/>
          <w:color w:val="auto"/>
          <w:szCs w:val="20"/>
          <w:lang w:val="en-AU"/>
        </w:rPr>
        <w:t xml:space="preserve">guidelines. </w:t>
      </w:r>
      <w:r w:rsidR="00B7311C">
        <w:rPr>
          <w:rFonts w:eastAsiaTheme="minorHAnsi"/>
          <w:b w:val="0"/>
          <w:color w:val="auto"/>
          <w:szCs w:val="20"/>
          <w:lang w:val="en-AU"/>
        </w:rPr>
        <w:t xml:space="preserve">  </w:t>
      </w:r>
    </w:p>
    <w:p w:rsidR="006E3AED" w:rsidRDefault="006E3AED" w:rsidP="006E3AED">
      <w:pPr>
        <w:pStyle w:val="NormalWeb"/>
        <w:spacing w:before="2" w:after="2"/>
        <w:rPr>
          <w:rFonts w:ascii="Arial" w:hAnsi="Arial"/>
        </w:rPr>
      </w:pPr>
      <w:r w:rsidRPr="006E3AED">
        <w:rPr>
          <w:rFonts w:ascii="Arial" w:hAnsi="Arial"/>
        </w:rPr>
        <w:t xml:space="preserve">The National Law under which we operate </w:t>
      </w:r>
      <w:r w:rsidR="003E5718">
        <w:rPr>
          <w:rFonts w:ascii="Arial" w:hAnsi="Arial"/>
        </w:rPr>
        <w:t xml:space="preserve">states </w:t>
      </w:r>
      <w:r w:rsidRPr="006E3AED">
        <w:rPr>
          <w:rFonts w:ascii="Arial" w:hAnsi="Arial"/>
        </w:rPr>
        <w:t xml:space="preserve">that </w:t>
      </w:r>
      <w:r w:rsidR="009D6085">
        <w:rPr>
          <w:rFonts w:ascii="Arial" w:hAnsi="Arial"/>
        </w:rPr>
        <w:t xml:space="preserve">National </w:t>
      </w:r>
      <w:r w:rsidRPr="006E3AED">
        <w:rPr>
          <w:rFonts w:ascii="Arial" w:hAnsi="Arial"/>
        </w:rPr>
        <w:t xml:space="preserve">Boards develop guidelines </w:t>
      </w:r>
      <w:r w:rsidRPr="006E3AED">
        <w:rPr>
          <w:rFonts w:ascii="Arial" w:hAnsi="Arial"/>
          <w:i/>
        </w:rPr>
        <w:t>to provide guidance to health practitioners registered in the profession</w:t>
      </w:r>
      <w:r w:rsidRPr="001420FB">
        <w:rPr>
          <w:rStyle w:val="FootnoteReference"/>
          <w:rFonts w:eastAsia="Cambria"/>
          <w:szCs w:val="24"/>
          <w:lang w:val="en-US"/>
        </w:rPr>
        <w:footnoteReference w:id="4"/>
      </w:r>
      <w:r w:rsidRPr="006E3AED">
        <w:rPr>
          <w:rFonts w:ascii="Arial" w:hAnsi="Arial"/>
        </w:rPr>
        <w:t xml:space="preserve">. The National Law also states </w:t>
      </w:r>
      <w:r w:rsidRPr="001420FB">
        <w:rPr>
          <w:rFonts w:ascii="Arial" w:hAnsi="Arial"/>
          <w:i/>
        </w:rPr>
        <w:t>that a guideline approved by a National Board is admissible in proceedings under this Law or a law of a co-regulatory jurisdiction against a health practitioner registered by the board as evidence of what constitutes appropriate professional conduct or practice for the health profession</w:t>
      </w:r>
      <w:r w:rsidRPr="001420FB">
        <w:rPr>
          <w:rFonts w:ascii="Arial" w:hAnsi="Arial"/>
          <w:vertAlign w:val="superscript"/>
        </w:rPr>
        <w:footnoteReference w:id="5"/>
      </w:r>
      <w:r w:rsidRPr="006E3AED">
        <w:rPr>
          <w:rFonts w:ascii="Arial" w:hAnsi="Arial"/>
        </w:rPr>
        <w:t xml:space="preserve">. </w:t>
      </w:r>
    </w:p>
    <w:p w:rsidR="006E3AED" w:rsidRDefault="006E3AED" w:rsidP="006E3AED">
      <w:pPr>
        <w:pStyle w:val="NormalWeb"/>
        <w:spacing w:before="2" w:after="2"/>
        <w:rPr>
          <w:rFonts w:ascii="Arial" w:hAnsi="Arial"/>
        </w:rPr>
      </w:pPr>
    </w:p>
    <w:p w:rsidR="00C32D68" w:rsidRDefault="00EE182E" w:rsidP="00DA460D">
      <w:pPr>
        <w:pStyle w:val="NormalWeb"/>
        <w:spacing w:before="2" w:after="2"/>
        <w:rPr>
          <w:rFonts w:ascii="Arial" w:hAnsi="Arial"/>
        </w:rPr>
      </w:pPr>
      <w:r>
        <w:rPr>
          <w:rFonts w:ascii="Arial" w:hAnsi="Arial"/>
        </w:rPr>
        <w:t xml:space="preserve">The </w:t>
      </w:r>
      <w:r w:rsidR="009D6085">
        <w:rPr>
          <w:rFonts w:ascii="Arial" w:hAnsi="Arial"/>
        </w:rPr>
        <w:t xml:space="preserve">National </w:t>
      </w:r>
      <w:r>
        <w:rPr>
          <w:rFonts w:ascii="Arial" w:hAnsi="Arial"/>
        </w:rPr>
        <w:t xml:space="preserve">Boards agree that there should be monitoring of compliance with the guidelines. </w:t>
      </w:r>
    </w:p>
    <w:p w:rsidR="00C32D68" w:rsidRDefault="00C32D68" w:rsidP="000255B4">
      <w:pPr>
        <w:pStyle w:val="NormalWeb"/>
        <w:spacing w:before="2" w:after="2"/>
        <w:rPr>
          <w:rFonts w:ascii="Arial" w:hAnsi="Arial"/>
        </w:rPr>
      </w:pPr>
    </w:p>
    <w:p w:rsidR="0030647E" w:rsidRDefault="00C32D68">
      <w:pPr>
        <w:pStyle w:val="NormalWeb"/>
        <w:spacing w:before="2" w:after="2"/>
        <w:rPr>
          <w:rFonts w:ascii="Arial" w:hAnsi="Arial"/>
        </w:rPr>
      </w:pPr>
      <w:r>
        <w:rPr>
          <w:rFonts w:ascii="Arial" w:hAnsi="Arial"/>
        </w:rPr>
        <w:t xml:space="preserve">All </w:t>
      </w:r>
      <w:r w:rsidR="009D6085">
        <w:rPr>
          <w:rFonts w:ascii="Arial" w:hAnsi="Arial"/>
        </w:rPr>
        <w:t xml:space="preserve">National </w:t>
      </w:r>
      <w:r>
        <w:rPr>
          <w:rFonts w:ascii="Arial" w:hAnsi="Arial"/>
        </w:rPr>
        <w:t>Boards publish regular newsletters.  Boards can raise practitioner awareness about the</w:t>
      </w:r>
      <w:r w:rsidR="00B65444">
        <w:rPr>
          <w:rFonts w:ascii="Arial" w:hAnsi="Arial"/>
        </w:rPr>
        <w:t>ir</w:t>
      </w:r>
      <w:r>
        <w:rPr>
          <w:rFonts w:ascii="Arial" w:hAnsi="Arial"/>
        </w:rPr>
        <w:t xml:space="preserve"> responsibilities in preventin</w:t>
      </w:r>
      <w:r w:rsidR="00B65444">
        <w:rPr>
          <w:rFonts w:ascii="Arial" w:hAnsi="Arial"/>
        </w:rPr>
        <w:t>g</w:t>
      </w:r>
      <w:r>
        <w:rPr>
          <w:rFonts w:ascii="Arial" w:hAnsi="Arial"/>
        </w:rPr>
        <w:t xml:space="preserve"> transmission of blood-borne viruses</w:t>
      </w:r>
      <w:r w:rsidR="009D6085">
        <w:rPr>
          <w:rFonts w:ascii="Arial" w:hAnsi="Arial"/>
        </w:rPr>
        <w:t xml:space="preserve"> and they can </w:t>
      </w:r>
      <w:r>
        <w:rPr>
          <w:rFonts w:ascii="Arial" w:hAnsi="Arial"/>
        </w:rPr>
        <w:t>provide information to practitioners who are infected with a blood-borne virus through regular reminders in newsletters.</w:t>
      </w:r>
    </w:p>
    <w:p w:rsidR="00C32D68" w:rsidRDefault="00C32D68" w:rsidP="00C32D68">
      <w:pPr>
        <w:pStyle w:val="NormalWeb"/>
        <w:spacing w:before="2" w:after="2"/>
        <w:rPr>
          <w:rFonts w:ascii="Arial" w:hAnsi="Arial"/>
        </w:rPr>
      </w:pPr>
    </w:p>
    <w:p w:rsidR="0030647E" w:rsidRDefault="00C32D68">
      <w:pPr>
        <w:pStyle w:val="NormalWeb"/>
        <w:spacing w:before="2" w:after="2"/>
        <w:rPr>
          <w:rFonts w:ascii="Arial" w:hAnsi="Arial"/>
        </w:rPr>
      </w:pPr>
      <w:r>
        <w:rPr>
          <w:rFonts w:ascii="Arial" w:hAnsi="Arial"/>
        </w:rPr>
        <w:t xml:space="preserve">Section 109 of the National Law requires practitioners to declare </w:t>
      </w:r>
      <w:r w:rsidR="009D6085">
        <w:rPr>
          <w:rFonts w:ascii="Arial" w:hAnsi="Arial"/>
        </w:rPr>
        <w:t>when they renew their registration</w:t>
      </w:r>
      <w:r>
        <w:rPr>
          <w:rFonts w:ascii="Arial" w:hAnsi="Arial"/>
        </w:rPr>
        <w:t xml:space="preserve"> that they do not have an impairment.  </w:t>
      </w:r>
      <w:r w:rsidR="00906910">
        <w:rPr>
          <w:rFonts w:ascii="Arial" w:hAnsi="Arial"/>
        </w:rPr>
        <w:t>Boards can explain</w:t>
      </w:r>
      <w:r w:rsidR="00906910" w:rsidRPr="003E1870">
        <w:rPr>
          <w:rFonts w:ascii="Arial" w:hAnsi="Arial"/>
        </w:rPr>
        <w:t xml:space="preserve"> as part of the renewal process that a practitioner with a blood-borne virus who is not complying with the </w:t>
      </w:r>
      <w:r w:rsidR="00C729F3">
        <w:rPr>
          <w:rFonts w:ascii="Arial" w:hAnsi="Arial"/>
        </w:rPr>
        <w:t>CDNA</w:t>
      </w:r>
      <w:r w:rsidR="00906910" w:rsidRPr="003E1870">
        <w:rPr>
          <w:rFonts w:ascii="Arial" w:hAnsi="Arial"/>
        </w:rPr>
        <w:t xml:space="preserve"> guidelines falls </w:t>
      </w:r>
      <w:r w:rsidR="00906910">
        <w:rPr>
          <w:rFonts w:ascii="Arial" w:hAnsi="Arial"/>
        </w:rPr>
        <w:t>within</w:t>
      </w:r>
      <w:r w:rsidR="00906910" w:rsidRPr="003E1870">
        <w:rPr>
          <w:rFonts w:ascii="Arial" w:hAnsi="Arial"/>
        </w:rPr>
        <w:t xml:space="preserve"> the definition of impairment and applicants should </w:t>
      </w:r>
      <w:r w:rsidR="00906910">
        <w:rPr>
          <w:rFonts w:ascii="Arial" w:hAnsi="Arial"/>
        </w:rPr>
        <w:t>declare their impairment when they apply to renew their registration</w:t>
      </w:r>
      <w:r w:rsidR="00906910" w:rsidRPr="003E1870">
        <w:rPr>
          <w:rFonts w:ascii="Arial" w:hAnsi="Arial"/>
        </w:rPr>
        <w:t xml:space="preserve">. </w:t>
      </w:r>
      <w:r>
        <w:rPr>
          <w:rFonts w:ascii="Arial" w:hAnsi="Arial"/>
        </w:rPr>
        <w:t xml:space="preserve"> </w:t>
      </w:r>
      <w:r w:rsidR="009D6085">
        <w:rPr>
          <w:rFonts w:ascii="Arial" w:hAnsi="Arial"/>
        </w:rPr>
        <w:t xml:space="preserve">National </w:t>
      </w:r>
      <w:r>
        <w:rPr>
          <w:rFonts w:ascii="Arial" w:hAnsi="Arial"/>
        </w:rPr>
        <w:t>Boards can look more closely at practitioners who make a positive declaration (e.g. by seeking additional information and if necessary, requiring a health assessment</w:t>
      </w:r>
      <w:r w:rsidR="00B65444">
        <w:rPr>
          <w:rFonts w:ascii="Arial" w:hAnsi="Arial"/>
        </w:rPr>
        <w:t xml:space="preserve"> and taking further protective action</w:t>
      </w:r>
      <w:r>
        <w:rPr>
          <w:rFonts w:ascii="Arial" w:hAnsi="Arial"/>
        </w:rPr>
        <w:t>)</w:t>
      </w:r>
      <w:r w:rsidR="00C729F3">
        <w:rPr>
          <w:rFonts w:ascii="Arial" w:hAnsi="Arial"/>
        </w:rPr>
        <w:t>.  They can also</w:t>
      </w:r>
      <w:r>
        <w:rPr>
          <w:rFonts w:ascii="Arial" w:hAnsi="Arial"/>
        </w:rPr>
        <w:t xml:space="preserve"> take action under the National Law if a practitioner makes a false declaration. </w:t>
      </w:r>
    </w:p>
    <w:p w:rsidR="0030647E" w:rsidRDefault="0030647E">
      <w:pPr>
        <w:pStyle w:val="NormalWeb"/>
        <w:spacing w:before="2" w:after="2"/>
        <w:rPr>
          <w:rFonts w:ascii="Arial" w:hAnsi="Arial"/>
        </w:rPr>
      </w:pPr>
    </w:p>
    <w:p w:rsidR="0030647E" w:rsidRDefault="009D6085">
      <w:pPr>
        <w:pStyle w:val="NormalWeb"/>
        <w:spacing w:before="2" w:after="2"/>
        <w:rPr>
          <w:rFonts w:ascii="Arial" w:hAnsi="Arial"/>
        </w:rPr>
      </w:pPr>
      <w:r>
        <w:rPr>
          <w:rFonts w:ascii="Arial" w:hAnsi="Arial"/>
        </w:rPr>
        <w:t xml:space="preserve">National Boards that </w:t>
      </w:r>
      <w:r w:rsidR="00C32D68">
        <w:rPr>
          <w:rFonts w:ascii="Arial" w:hAnsi="Arial"/>
        </w:rPr>
        <w:t xml:space="preserve">regulate practitioners who perform exposure-prone procedures </w:t>
      </w:r>
      <w:r w:rsidR="00D23546">
        <w:rPr>
          <w:rFonts w:ascii="Arial" w:hAnsi="Arial"/>
        </w:rPr>
        <w:t xml:space="preserve">have the power to </w:t>
      </w:r>
      <w:r w:rsidR="00C32D68">
        <w:rPr>
          <w:rFonts w:ascii="Arial" w:hAnsi="Arial"/>
        </w:rPr>
        <w:t xml:space="preserve">ask applicants for registration and </w:t>
      </w:r>
      <w:r w:rsidR="00D23546">
        <w:rPr>
          <w:rFonts w:ascii="Arial" w:hAnsi="Arial"/>
        </w:rPr>
        <w:t xml:space="preserve">practitioners when they renew their </w:t>
      </w:r>
      <w:r w:rsidR="00C32D68">
        <w:rPr>
          <w:rFonts w:ascii="Arial" w:hAnsi="Arial"/>
        </w:rPr>
        <w:t>registration</w:t>
      </w:r>
      <w:r w:rsidR="00D23546">
        <w:rPr>
          <w:rFonts w:ascii="Arial" w:hAnsi="Arial"/>
        </w:rPr>
        <w:t>,</w:t>
      </w:r>
      <w:r w:rsidR="00C32D68">
        <w:rPr>
          <w:rFonts w:ascii="Arial" w:hAnsi="Arial"/>
        </w:rPr>
        <w:t xml:space="preserve"> to confirm that they are aware of their </w:t>
      </w:r>
      <w:r w:rsidR="00C32D68" w:rsidRPr="000D14F7">
        <w:rPr>
          <w:rFonts w:ascii="Arial" w:hAnsi="Arial"/>
        </w:rPr>
        <w:t>infection status for blood-borne viruses and t</w:t>
      </w:r>
      <w:r w:rsidR="00C32D68">
        <w:rPr>
          <w:rFonts w:ascii="Arial" w:hAnsi="Arial"/>
        </w:rPr>
        <w:t>o confirm</w:t>
      </w:r>
      <w:r w:rsidR="00C32D68" w:rsidRPr="000D14F7">
        <w:rPr>
          <w:rFonts w:ascii="Arial" w:hAnsi="Arial"/>
        </w:rPr>
        <w:t xml:space="preserve"> they will comply with the </w:t>
      </w:r>
      <w:r w:rsidR="00C729F3">
        <w:rPr>
          <w:rFonts w:ascii="Arial" w:hAnsi="Arial"/>
        </w:rPr>
        <w:t>CDNA</w:t>
      </w:r>
      <w:r w:rsidR="00C32D68" w:rsidRPr="000D14F7">
        <w:rPr>
          <w:rFonts w:ascii="Arial" w:hAnsi="Arial"/>
        </w:rPr>
        <w:t xml:space="preserve"> guidelines and with any requirements in the relevant Board’s Infection Control Guidelines in relation to blood-borne viruses.</w:t>
      </w:r>
      <w:r w:rsidR="00C32D68">
        <w:rPr>
          <w:rFonts w:ascii="Arial" w:hAnsi="Arial"/>
        </w:rPr>
        <w:t xml:space="preserve"> </w:t>
      </w:r>
      <w:r w:rsidR="00D23546">
        <w:rPr>
          <w:rFonts w:ascii="Arial" w:hAnsi="Arial"/>
        </w:rPr>
        <w:t xml:space="preserve">National </w:t>
      </w:r>
      <w:r w:rsidR="00C32D68">
        <w:rPr>
          <w:rFonts w:ascii="Arial" w:hAnsi="Arial"/>
        </w:rPr>
        <w:t>Boards that decide to ask applicants to make this declaration</w:t>
      </w:r>
      <w:r w:rsidR="00D23546">
        <w:rPr>
          <w:rFonts w:ascii="Arial" w:hAnsi="Arial"/>
        </w:rPr>
        <w:t>,</w:t>
      </w:r>
      <w:r w:rsidR="00C32D68">
        <w:rPr>
          <w:rFonts w:ascii="Arial" w:hAnsi="Arial"/>
        </w:rPr>
        <w:t xml:space="preserve"> will develop additional resource material to support </w:t>
      </w:r>
      <w:r w:rsidR="00D23546">
        <w:rPr>
          <w:rFonts w:ascii="Arial" w:hAnsi="Arial"/>
        </w:rPr>
        <w:t xml:space="preserve">practitioners </w:t>
      </w:r>
      <w:r w:rsidR="00C32D68">
        <w:rPr>
          <w:rFonts w:ascii="Arial" w:hAnsi="Arial"/>
        </w:rPr>
        <w:t>to answer this question</w:t>
      </w:r>
      <w:r w:rsidR="00D23546">
        <w:rPr>
          <w:rFonts w:ascii="Arial" w:hAnsi="Arial"/>
        </w:rPr>
        <w:t>,</w:t>
      </w:r>
      <w:r w:rsidR="00C32D68">
        <w:rPr>
          <w:rFonts w:ascii="Arial" w:hAnsi="Arial"/>
        </w:rPr>
        <w:t xml:space="preserve"> as it is likely to lead to many inquiries</w:t>
      </w:r>
      <w:r w:rsidR="00D23546">
        <w:rPr>
          <w:rFonts w:ascii="Arial" w:hAnsi="Arial"/>
        </w:rPr>
        <w:t xml:space="preserve"> including: Do </w:t>
      </w:r>
      <w:r w:rsidR="00C32D68">
        <w:rPr>
          <w:rFonts w:ascii="Arial" w:hAnsi="Arial"/>
        </w:rPr>
        <w:t xml:space="preserve">I have to have regular tests even if I don’t perform exposure-prone procedures? I don’t perform exposure–prone procedure and have never had an exposure </w:t>
      </w:r>
      <w:r w:rsidR="00D23546">
        <w:rPr>
          <w:rFonts w:ascii="Arial" w:hAnsi="Arial"/>
        </w:rPr>
        <w:t xml:space="preserve">to a blood borne infectious disease </w:t>
      </w:r>
      <w:r w:rsidR="00C32D68">
        <w:rPr>
          <w:rFonts w:ascii="Arial" w:hAnsi="Arial"/>
        </w:rPr>
        <w:t>but I don’t have a recent result etc.</w:t>
      </w:r>
    </w:p>
    <w:p w:rsidR="0030647E" w:rsidRDefault="0030647E">
      <w:pPr>
        <w:pStyle w:val="NormalWeb"/>
        <w:spacing w:before="2" w:after="2"/>
        <w:rPr>
          <w:rFonts w:ascii="Arial" w:eastAsia="Times New Roman" w:hAnsi="Arial"/>
          <w:sz w:val="22"/>
          <w:szCs w:val="22"/>
        </w:rPr>
      </w:pPr>
    </w:p>
    <w:p w:rsidR="0030647E" w:rsidRPr="00D64BC4" w:rsidRDefault="000A3880">
      <w:pPr>
        <w:pStyle w:val="NormalWeb"/>
        <w:spacing w:before="2" w:after="2"/>
        <w:rPr>
          <w:rFonts w:ascii="Arial" w:eastAsia="Cambria" w:hAnsi="Arial" w:cs="Arial"/>
          <w:szCs w:val="24"/>
        </w:rPr>
      </w:pPr>
      <w:r w:rsidRPr="000A3880">
        <w:rPr>
          <w:rFonts w:ascii="Arial" w:hAnsi="Arial"/>
        </w:rPr>
        <w:t xml:space="preserve">There was a </w:t>
      </w:r>
      <w:r w:rsidR="00C32D68" w:rsidRPr="00FB6EAA">
        <w:rPr>
          <w:rFonts w:ascii="Arial" w:hAnsi="Arial"/>
        </w:rPr>
        <w:t xml:space="preserve">suggestion that practitioners who perform exposure prone procedures should provide the date, result and source laboratory of </w:t>
      </w:r>
      <w:r w:rsidR="00D23546">
        <w:rPr>
          <w:rFonts w:ascii="Arial" w:hAnsi="Arial"/>
        </w:rPr>
        <w:t xml:space="preserve">blood </w:t>
      </w:r>
      <w:r w:rsidR="00C32D68" w:rsidRPr="00FB6EAA">
        <w:rPr>
          <w:rFonts w:ascii="Arial" w:hAnsi="Arial"/>
        </w:rPr>
        <w:t xml:space="preserve">tests and consent to the release of information </w:t>
      </w:r>
      <w:r w:rsidR="003A27A6">
        <w:rPr>
          <w:rFonts w:ascii="Arial" w:hAnsi="Arial"/>
        </w:rPr>
        <w:t xml:space="preserve">for audit by </w:t>
      </w:r>
      <w:r w:rsidR="00C32D68" w:rsidRPr="00FB6EAA">
        <w:rPr>
          <w:rFonts w:ascii="Arial" w:hAnsi="Arial"/>
        </w:rPr>
        <w:t>AHPRA</w:t>
      </w:r>
      <w:r w:rsidR="00C32D68" w:rsidRPr="00FB6EAA">
        <w:rPr>
          <w:rFonts w:ascii="Arial" w:eastAsia="Cambria" w:hAnsi="Arial" w:cs="Arial"/>
          <w:szCs w:val="24"/>
        </w:rPr>
        <w:t xml:space="preserve">.  This is a very intrusive approach </w:t>
      </w:r>
      <w:r w:rsidR="00C32D68">
        <w:rPr>
          <w:rFonts w:ascii="Arial" w:eastAsia="Cambria" w:hAnsi="Arial" w:cs="Arial"/>
          <w:szCs w:val="24"/>
        </w:rPr>
        <w:t xml:space="preserve">and it </w:t>
      </w:r>
      <w:r w:rsidR="00C32D68" w:rsidRPr="00FB6EAA">
        <w:rPr>
          <w:rFonts w:ascii="Arial" w:eastAsia="Cambria" w:hAnsi="Arial" w:cs="Arial"/>
          <w:szCs w:val="24"/>
        </w:rPr>
        <w:t xml:space="preserve">is difficult to find a power for the </w:t>
      </w:r>
      <w:r w:rsidR="003A27A6">
        <w:rPr>
          <w:rFonts w:ascii="Arial" w:eastAsia="Cambria" w:hAnsi="Arial" w:cs="Arial"/>
          <w:szCs w:val="24"/>
        </w:rPr>
        <w:t xml:space="preserve">National </w:t>
      </w:r>
      <w:r w:rsidR="00C32D68" w:rsidRPr="00FB6EAA">
        <w:rPr>
          <w:rFonts w:ascii="Arial" w:eastAsia="Cambria" w:hAnsi="Arial" w:cs="Arial"/>
          <w:szCs w:val="24"/>
        </w:rPr>
        <w:t>Board</w:t>
      </w:r>
      <w:r w:rsidR="003A27A6">
        <w:rPr>
          <w:rFonts w:ascii="Arial" w:eastAsia="Cambria" w:hAnsi="Arial" w:cs="Arial"/>
          <w:szCs w:val="24"/>
        </w:rPr>
        <w:t>s</w:t>
      </w:r>
      <w:r w:rsidR="00C32D68" w:rsidRPr="00FB6EAA">
        <w:rPr>
          <w:rFonts w:ascii="Arial" w:eastAsia="Cambria" w:hAnsi="Arial" w:cs="Arial"/>
          <w:szCs w:val="24"/>
        </w:rPr>
        <w:t xml:space="preserve"> to compel a practitioner to provide this consent, in the absence of </w:t>
      </w:r>
      <w:r w:rsidR="00C32D68">
        <w:rPr>
          <w:rFonts w:ascii="Arial" w:eastAsia="Cambria" w:hAnsi="Arial" w:cs="Arial"/>
          <w:szCs w:val="24"/>
        </w:rPr>
        <w:t xml:space="preserve">possible or </w:t>
      </w:r>
      <w:r w:rsidR="00C32D68" w:rsidRPr="00FB6EAA">
        <w:rPr>
          <w:rFonts w:ascii="Arial" w:eastAsia="Cambria" w:hAnsi="Arial" w:cs="Arial"/>
          <w:szCs w:val="24"/>
        </w:rPr>
        <w:t xml:space="preserve">known impairment.  </w:t>
      </w:r>
      <w:r w:rsidR="000249FC">
        <w:rPr>
          <w:rFonts w:ascii="Arial" w:eastAsia="Cambria" w:hAnsi="Arial" w:cs="Arial"/>
          <w:szCs w:val="24"/>
        </w:rPr>
        <w:t xml:space="preserve">It </w:t>
      </w:r>
      <w:r w:rsidR="00C52AF4">
        <w:rPr>
          <w:rFonts w:ascii="Arial" w:eastAsia="Cambria" w:hAnsi="Arial" w:cs="Arial"/>
          <w:szCs w:val="24"/>
        </w:rPr>
        <w:t>may</w:t>
      </w:r>
      <w:r w:rsidR="000249FC">
        <w:rPr>
          <w:rFonts w:ascii="Arial" w:eastAsia="Cambria" w:hAnsi="Arial" w:cs="Arial"/>
          <w:szCs w:val="24"/>
        </w:rPr>
        <w:t xml:space="preserve"> also not</w:t>
      </w:r>
      <w:r w:rsidR="00C52AF4">
        <w:rPr>
          <w:rFonts w:ascii="Arial" w:eastAsia="Cambria" w:hAnsi="Arial" w:cs="Arial"/>
          <w:szCs w:val="24"/>
        </w:rPr>
        <w:t xml:space="preserve"> be</w:t>
      </w:r>
      <w:r w:rsidR="000249FC">
        <w:rPr>
          <w:rFonts w:ascii="Arial" w:eastAsia="Cambria" w:hAnsi="Arial" w:cs="Arial"/>
          <w:szCs w:val="24"/>
        </w:rPr>
        <w:t xml:space="preserve"> consistent with the COAG </w:t>
      </w:r>
      <w:r w:rsidR="000249FC" w:rsidRPr="0044695E">
        <w:rPr>
          <w:rFonts w:ascii="Arial" w:hAnsi="Arial"/>
        </w:rPr>
        <w:t>principle for best practice regulation</w:t>
      </w:r>
      <w:r w:rsidR="000249FC">
        <w:rPr>
          <w:rFonts w:ascii="Arial" w:hAnsi="Arial"/>
        </w:rPr>
        <w:t xml:space="preserve"> that states that </w:t>
      </w:r>
      <w:r w:rsidRPr="000A3880">
        <w:rPr>
          <w:rFonts w:ascii="Arial" w:hAnsi="Arial"/>
          <w:i/>
        </w:rPr>
        <w:t>action should be effective and proportional to the issue being addressed</w:t>
      </w:r>
      <w:r w:rsidR="00C52AF4">
        <w:rPr>
          <w:rFonts w:ascii="Arial" w:hAnsi="Arial"/>
          <w:i/>
        </w:rPr>
        <w:t xml:space="preserve"> </w:t>
      </w:r>
      <w:r w:rsidR="00E36229" w:rsidRPr="00E36229">
        <w:rPr>
          <w:rFonts w:ascii="Arial" w:hAnsi="Arial"/>
        </w:rPr>
        <w:t xml:space="preserve">and </w:t>
      </w:r>
      <w:r w:rsidR="00D23546">
        <w:rPr>
          <w:rFonts w:ascii="Arial" w:hAnsi="Arial"/>
        </w:rPr>
        <w:t xml:space="preserve">consistent </w:t>
      </w:r>
      <w:r w:rsidR="00E36229" w:rsidRPr="00E36229">
        <w:rPr>
          <w:rFonts w:ascii="Arial" w:hAnsi="Arial"/>
        </w:rPr>
        <w:t>with the principles in the Privacy Act 1988 (Cth)</w:t>
      </w:r>
      <w:r w:rsidR="000249FC" w:rsidRPr="00D64BC4">
        <w:rPr>
          <w:rFonts w:ascii="Arial" w:hAnsi="Arial"/>
        </w:rPr>
        <w:t>.</w:t>
      </w:r>
    </w:p>
    <w:p w:rsidR="0030647E" w:rsidRDefault="0030647E">
      <w:pPr>
        <w:pStyle w:val="NormalWeb"/>
        <w:spacing w:before="2" w:after="2"/>
        <w:rPr>
          <w:rFonts w:ascii="Arial" w:eastAsia="Cambria" w:hAnsi="Arial" w:cs="Arial"/>
          <w:szCs w:val="24"/>
        </w:rPr>
      </w:pPr>
    </w:p>
    <w:p w:rsidR="006E3AED" w:rsidRDefault="006E3AED" w:rsidP="006E3AED">
      <w:pPr>
        <w:pStyle w:val="NormalWeb"/>
        <w:spacing w:before="2" w:after="2"/>
        <w:rPr>
          <w:rFonts w:ascii="Arial" w:eastAsia="Cambria" w:hAnsi="Arial" w:cs="Arial"/>
          <w:szCs w:val="24"/>
        </w:rPr>
      </w:pPr>
    </w:p>
    <w:p w:rsidR="00D7595C" w:rsidRDefault="009A0015" w:rsidP="00507272">
      <w:pPr>
        <w:pStyle w:val="NormalWeb"/>
        <w:spacing w:before="2" w:after="2"/>
        <w:rPr>
          <w:rFonts w:ascii="Arial" w:hAnsi="Arial"/>
          <w:b/>
        </w:rPr>
      </w:pPr>
      <w:r>
        <w:rPr>
          <w:rFonts w:ascii="Arial" w:hAnsi="Arial"/>
          <w:b/>
        </w:rPr>
        <w:t>S</w:t>
      </w:r>
      <w:r w:rsidR="00507272" w:rsidRPr="00507272">
        <w:rPr>
          <w:rFonts w:ascii="Arial" w:hAnsi="Arial"/>
          <w:b/>
        </w:rPr>
        <w:t>hould</w:t>
      </w:r>
      <w:r>
        <w:rPr>
          <w:rFonts w:ascii="Arial" w:hAnsi="Arial"/>
          <w:b/>
        </w:rPr>
        <w:t xml:space="preserve"> the</w:t>
      </w:r>
      <w:r w:rsidR="003A27A6">
        <w:rPr>
          <w:rFonts w:ascii="Arial" w:hAnsi="Arial"/>
          <w:b/>
        </w:rPr>
        <w:t xml:space="preserve"> </w:t>
      </w:r>
      <w:r>
        <w:rPr>
          <w:rFonts w:ascii="Arial" w:hAnsi="Arial"/>
          <w:b/>
        </w:rPr>
        <w:t>Board</w:t>
      </w:r>
      <w:r w:rsidR="003A27A6">
        <w:rPr>
          <w:rFonts w:ascii="Arial" w:hAnsi="Arial"/>
          <w:b/>
        </w:rPr>
        <w:t>s</w:t>
      </w:r>
      <w:r w:rsidR="00507272" w:rsidRPr="00507272">
        <w:rPr>
          <w:rFonts w:ascii="Arial" w:hAnsi="Arial"/>
          <w:b/>
        </w:rPr>
        <w:t xml:space="preserve"> impose conditions on the registration of practitioners who are infected with a blood-borne virus</w:t>
      </w:r>
      <w:r>
        <w:rPr>
          <w:rFonts w:ascii="Arial" w:hAnsi="Arial"/>
          <w:b/>
        </w:rPr>
        <w:t>?</w:t>
      </w:r>
    </w:p>
    <w:p w:rsidR="00507272" w:rsidRPr="00507272" w:rsidRDefault="00507272" w:rsidP="00507272">
      <w:pPr>
        <w:pStyle w:val="NormalWeb"/>
        <w:spacing w:before="2" w:after="2"/>
        <w:rPr>
          <w:rFonts w:ascii="Arial" w:hAnsi="Arial"/>
          <w:b/>
        </w:rPr>
      </w:pPr>
    </w:p>
    <w:p w:rsidR="00906910" w:rsidRDefault="000249FC" w:rsidP="00906910">
      <w:pPr>
        <w:pStyle w:val="NormalWeb"/>
        <w:spacing w:before="2" w:after="2"/>
        <w:rPr>
          <w:rFonts w:ascii="Arial" w:hAnsi="Arial"/>
        </w:rPr>
      </w:pPr>
      <w:r>
        <w:rPr>
          <w:rFonts w:ascii="Arial" w:hAnsi="Arial"/>
        </w:rPr>
        <w:t xml:space="preserve">The </w:t>
      </w:r>
      <w:r w:rsidR="003A27A6">
        <w:rPr>
          <w:rFonts w:ascii="Arial" w:hAnsi="Arial"/>
        </w:rPr>
        <w:t xml:space="preserve">National </w:t>
      </w:r>
      <w:r>
        <w:rPr>
          <w:rFonts w:ascii="Arial" w:hAnsi="Arial"/>
        </w:rPr>
        <w:t xml:space="preserve">Boards have powers under the National Law to take action in relation to </w:t>
      </w:r>
      <w:r w:rsidR="00EC07FC">
        <w:rPr>
          <w:rFonts w:ascii="Arial" w:hAnsi="Arial"/>
        </w:rPr>
        <w:t xml:space="preserve">a </w:t>
      </w:r>
      <w:r w:rsidR="00906910">
        <w:rPr>
          <w:rFonts w:ascii="Arial" w:hAnsi="Arial"/>
        </w:rPr>
        <w:t>practitioner</w:t>
      </w:r>
      <w:r>
        <w:rPr>
          <w:rFonts w:ascii="Arial" w:hAnsi="Arial"/>
        </w:rPr>
        <w:t xml:space="preserve"> if the</w:t>
      </w:r>
      <w:r w:rsidR="00EC07FC">
        <w:rPr>
          <w:rFonts w:ascii="Arial" w:hAnsi="Arial"/>
        </w:rPr>
        <w:t xml:space="preserve"> practitioner is</w:t>
      </w:r>
      <w:r w:rsidR="00906910">
        <w:rPr>
          <w:rFonts w:ascii="Arial" w:hAnsi="Arial"/>
        </w:rPr>
        <w:t xml:space="preserve"> </w:t>
      </w:r>
      <w:r w:rsidR="00D03BE3">
        <w:rPr>
          <w:rFonts w:ascii="Arial" w:hAnsi="Arial"/>
        </w:rPr>
        <w:t xml:space="preserve">or may be </w:t>
      </w:r>
      <w:r w:rsidR="00906910">
        <w:rPr>
          <w:rFonts w:ascii="Arial" w:hAnsi="Arial"/>
        </w:rPr>
        <w:t>impaired</w:t>
      </w:r>
      <w:r>
        <w:rPr>
          <w:rFonts w:ascii="Arial" w:hAnsi="Arial"/>
        </w:rPr>
        <w:t>.  Th</w:t>
      </w:r>
      <w:r w:rsidR="00EC07FC">
        <w:rPr>
          <w:rFonts w:ascii="Arial" w:hAnsi="Arial"/>
        </w:rPr>
        <w:t>at</w:t>
      </w:r>
      <w:r>
        <w:rPr>
          <w:rFonts w:ascii="Arial" w:hAnsi="Arial"/>
        </w:rPr>
        <w:t xml:space="preserve"> includes the power to accept undertakings and impose conditions on their registration.</w:t>
      </w:r>
    </w:p>
    <w:p w:rsidR="00CE5C64" w:rsidRDefault="00CE5C64" w:rsidP="00507272">
      <w:pPr>
        <w:pStyle w:val="NormalWeb"/>
        <w:spacing w:before="2" w:after="2"/>
        <w:rPr>
          <w:rFonts w:ascii="Arial" w:hAnsi="Arial"/>
        </w:rPr>
      </w:pPr>
    </w:p>
    <w:p w:rsidR="00AA55D5" w:rsidRDefault="000249FC" w:rsidP="00DA460D">
      <w:pPr>
        <w:pStyle w:val="NormalWeb"/>
        <w:spacing w:before="2" w:after="2"/>
        <w:rPr>
          <w:rFonts w:ascii="Arial" w:hAnsi="Arial"/>
        </w:rPr>
      </w:pPr>
      <w:r>
        <w:rPr>
          <w:rFonts w:ascii="Arial" w:hAnsi="Arial"/>
        </w:rPr>
        <w:lastRenderedPageBreak/>
        <w:t>I</w:t>
      </w:r>
      <w:r w:rsidR="00CE5C64">
        <w:rPr>
          <w:rFonts w:ascii="Arial" w:hAnsi="Arial"/>
        </w:rPr>
        <w:t xml:space="preserve">f a practitioner is infected with a blood-borne virus but is complying with the </w:t>
      </w:r>
      <w:r w:rsidR="00C729F3">
        <w:rPr>
          <w:rFonts w:ascii="Arial" w:hAnsi="Arial"/>
        </w:rPr>
        <w:t>CDNA</w:t>
      </w:r>
      <w:r w:rsidR="00CE5C64">
        <w:rPr>
          <w:rFonts w:ascii="Arial" w:hAnsi="Arial"/>
        </w:rPr>
        <w:t xml:space="preserve"> guidelines, including by restricting their practice as recommended by the guidelines, they are </w:t>
      </w:r>
      <w:r w:rsidR="00EF3E71">
        <w:rPr>
          <w:rFonts w:ascii="Arial" w:hAnsi="Arial"/>
        </w:rPr>
        <w:t xml:space="preserve">not likely to be </w:t>
      </w:r>
      <w:r w:rsidR="00CE5C64">
        <w:rPr>
          <w:rFonts w:ascii="Arial" w:hAnsi="Arial"/>
        </w:rPr>
        <w:t>‘impaired’.</w:t>
      </w:r>
      <w:r w:rsidR="00EC07FC">
        <w:rPr>
          <w:rFonts w:ascii="Arial" w:hAnsi="Arial"/>
        </w:rPr>
        <w:t xml:space="preserve">  Conversely, if a practitioner is infected and is not complying with the </w:t>
      </w:r>
      <w:r w:rsidR="00C729F3">
        <w:rPr>
          <w:rFonts w:ascii="Arial" w:hAnsi="Arial"/>
        </w:rPr>
        <w:t>CDNA</w:t>
      </w:r>
      <w:r w:rsidR="00EC07FC">
        <w:rPr>
          <w:rFonts w:ascii="Arial" w:hAnsi="Arial"/>
        </w:rPr>
        <w:t xml:space="preserve"> guidelines, they </w:t>
      </w:r>
      <w:r w:rsidR="00EF3E71">
        <w:rPr>
          <w:rFonts w:ascii="Arial" w:hAnsi="Arial"/>
        </w:rPr>
        <w:t>may be</w:t>
      </w:r>
      <w:r w:rsidR="00EC07FC">
        <w:rPr>
          <w:rFonts w:ascii="Arial" w:hAnsi="Arial"/>
        </w:rPr>
        <w:t xml:space="preserve"> impaired and the Boards can take protective action under the National Law.</w:t>
      </w:r>
    </w:p>
    <w:p w:rsidR="00AA55D5" w:rsidRDefault="00AA55D5" w:rsidP="00507272">
      <w:pPr>
        <w:pStyle w:val="NormalWeb"/>
        <w:spacing w:before="2" w:after="2"/>
        <w:rPr>
          <w:rFonts w:ascii="Arial" w:hAnsi="Arial"/>
        </w:rPr>
      </w:pPr>
    </w:p>
    <w:p w:rsidR="00906910" w:rsidRDefault="00906910" w:rsidP="00906910">
      <w:pPr>
        <w:pStyle w:val="NormalWeb"/>
        <w:spacing w:before="2" w:after="2"/>
        <w:rPr>
          <w:rFonts w:ascii="Arial" w:hAnsi="Arial"/>
        </w:rPr>
      </w:pPr>
      <w:r>
        <w:rPr>
          <w:rFonts w:ascii="Arial" w:hAnsi="Arial"/>
        </w:rPr>
        <w:t>There was also feedback that the</w:t>
      </w:r>
      <w:r w:rsidR="003A27A6">
        <w:rPr>
          <w:rFonts w:ascii="Arial" w:hAnsi="Arial"/>
        </w:rPr>
        <w:t xml:space="preserve"> National</w:t>
      </w:r>
      <w:r>
        <w:rPr>
          <w:rFonts w:ascii="Arial" w:hAnsi="Arial"/>
        </w:rPr>
        <w:t xml:space="preserve"> Board</w:t>
      </w:r>
      <w:r w:rsidR="003A27A6">
        <w:rPr>
          <w:rFonts w:ascii="Arial" w:hAnsi="Arial"/>
        </w:rPr>
        <w:t>s</w:t>
      </w:r>
      <w:r>
        <w:rPr>
          <w:rFonts w:ascii="Arial" w:hAnsi="Arial"/>
        </w:rPr>
        <w:t xml:space="preserve"> should impose conditions on infected practitioners whose scope of practice might include procedures that are associated with a risk of transmitting the virus. Again, in the absence of impairment, there is no trigger for Board</w:t>
      </w:r>
      <w:r w:rsidR="003A27A6">
        <w:rPr>
          <w:rFonts w:ascii="Arial" w:hAnsi="Arial"/>
        </w:rPr>
        <w:t>s</w:t>
      </w:r>
      <w:r>
        <w:rPr>
          <w:rFonts w:ascii="Arial" w:hAnsi="Arial"/>
        </w:rPr>
        <w:t xml:space="preserve"> to impose conditions about a practitioner’s health.</w:t>
      </w:r>
    </w:p>
    <w:p w:rsidR="00AA55D5" w:rsidRDefault="00AA55D5" w:rsidP="00507272">
      <w:pPr>
        <w:pStyle w:val="NormalWeb"/>
        <w:spacing w:before="2" w:after="2"/>
        <w:rPr>
          <w:rFonts w:ascii="Arial" w:hAnsi="Arial"/>
        </w:rPr>
      </w:pPr>
    </w:p>
    <w:p w:rsidR="00152836" w:rsidRDefault="00B65444" w:rsidP="00DA460D">
      <w:pPr>
        <w:pStyle w:val="NormalWeb"/>
        <w:spacing w:before="2" w:after="2"/>
        <w:rPr>
          <w:rFonts w:ascii="Arial" w:hAnsi="Arial"/>
        </w:rPr>
      </w:pPr>
      <w:r>
        <w:rPr>
          <w:rFonts w:ascii="Arial" w:hAnsi="Arial"/>
        </w:rPr>
        <w:t>However, t</w:t>
      </w:r>
      <w:r w:rsidR="00152836">
        <w:rPr>
          <w:rFonts w:ascii="Arial" w:hAnsi="Arial"/>
        </w:rPr>
        <w:t>he Boards may need to obtain additional information to</w:t>
      </w:r>
      <w:r w:rsidR="00C729F3">
        <w:rPr>
          <w:rFonts w:ascii="Arial" w:hAnsi="Arial"/>
        </w:rPr>
        <w:t xml:space="preserve"> be assured </w:t>
      </w:r>
      <w:r w:rsidR="00152836">
        <w:rPr>
          <w:rFonts w:ascii="Arial" w:hAnsi="Arial"/>
        </w:rPr>
        <w:t>that the practitioner is complying with the guidelines</w:t>
      </w:r>
      <w:r w:rsidR="000249FC">
        <w:rPr>
          <w:rFonts w:ascii="Arial" w:hAnsi="Arial"/>
        </w:rPr>
        <w:t xml:space="preserve"> </w:t>
      </w:r>
      <w:r w:rsidR="00EC07FC">
        <w:rPr>
          <w:rFonts w:ascii="Arial" w:hAnsi="Arial"/>
        </w:rPr>
        <w:t xml:space="preserve">and is therefore not impaired. </w:t>
      </w:r>
    </w:p>
    <w:p w:rsidR="00152836" w:rsidRDefault="00152836" w:rsidP="00507272">
      <w:pPr>
        <w:pStyle w:val="NormalWeb"/>
        <w:spacing w:before="2" w:after="2"/>
        <w:rPr>
          <w:rFonts w:ascii="Arial" w:hAnsi="Arial"/>
        </w:rPr>
      </w:pPr>
    </w:p>
    <w:p w:rsidR="00CE5C64" w:rsidRDefault="00C97C40" w:rsidP="00507272">
      <w:pPr>
        <w:pStyle w:val="NormalWeb"/>
        <w:spacing w:before="2" w:after="2"/>
        <w:rPr>
          <w:rFonts w:ascii="Arial" w:hAnsi="Arial"/>
        </w:rPr>
      </w:pPr>
      <w:r>
        <w:rPr>
          <w:rFonts w:ascii="Arial" w:hAnsi="Arial"/>
        </w:rPr>
        <w:t xml:space="preserve">Many stakeholders recognised that it was </w:t>
      </w:r>
      <w:r w:rsidR="00672610">
        <w:rPr>
          <w:rFonts w:ascii="Arial" w:hAnsi="Arial"/>
        </w:rPr>
        <w:t>in the interest of the public</w:t>
      </w:r>
      <w:r>
        <w:rPr>
          <w:rFonts w:ascii="Arial" w:hAnsi="Arial"/>
        </w:rPr>
        <w:t xml:space="preserve"> if the guidelines encourage practitioners to know whether they have an infection and if they </w:t>
      </w:r>
      <w:r w:rsidR="00672610">
        <w:rPr>
          <w:rFonts w:ascii="Arial" w:hAnsi="Arial"/>
        </w:rPr>
        <w:t>are infected, to not impose unnecessary barriers to them seeking expert advice</w:t>
      </w:r>
      <w:r w:rsidR="003A7697">
        <w:rPr>
          <w:rFonts w:ascii="Arial" w:hAnsi="Arial"/>
        </w:rPr>
        <w:t>.  For example,</w:t>
      </w:r>
      <w:r>
        <w:rPr>
          <w:rFonts w:ascii="Arial" w:hAnsi="Arial"/>
        </w:rPr>
        <w:t xml:space="preserve"> </w:t>
      </w:r>
      <w:r w:rsidR="00672610">
        <w:rPr>
          <w:rFonts w:ascii="Arial" w:hAnsi="Arial"/>
        </w:rPr>
        <w:t xml:space="preserve">some practitioners may not consult an infectious diseases physician if the treating doctor was </w:t>
      </w:r>
      <w:r>
        <w:rPr>
          <w:rFonts w:ascii="Arial" w:hAnsi="Arial"/>
        </w:rPr>
        <w:t>requir</w:t>
      </w:r>
      <w:r w:rsidR="00672610">
        <w:rPr>
          <w:rFonts w:ascii="Arial" w:hAnsi="Arial"/>
        </w:rPr>
        <w:t>ed</w:t>
      </w:r>
      <w:r>
        <w:rPr>
          <w:rFonts w:ascii="Arial" w:hAnsi="Arial"/>
        </w:rPr>
        <w:t xml:space="preserve"> to </w:t>
      </w:r>
      <w:r w:rsidR="00E66607">
        <w:rPr>
          <w:rFonts w:ascii="Arial" w:hAnsi="Arial"/>
        </w:rPr>
        <w:t xml:space="preserve">routinely </w:t>
      </w:r>
      <w:r>
        <w:rPr>
          <w:rFonts w:ascii="Arial" w:hAnsi="Arial"/>
        </w:rPr>
        <w:t>notify the</w:t>
      </w:r>
      <w:r w:rsidR="00672610">
        <w:rPr>
          <w:rFonts w:ascii="Arial" w:hAnsi="Arial"/>
        </w:rPr>
        <w:t>ir patient to the</w:t>
      </w:r>
      <w:r>
        <w:rPr>
          <w:rFonts w:ascii="Arial" w:hAnsi="Arial"/>
        </w:rPr>
        <w:t xml:space="preserve"> Board.</w:t>
      </w:r>
    </w:p>
    <w:p w:rsidR="00CE5C64" w:rsidRDefault="00CE5C64" w:rsidP="00507272">
      <w:pPr>
        <w:pStyle w:val="NormalWeb"/>
        <w:spacing w:before="2" w:after="2"/>
        <w:rPr>
          <w:rFonts w:ascii="Arial" w:hAnsi="Arial"/>
        </w:rPr>
      </w:pPr>
    </w:p>
    <w:p w:rsidR="00AA55D5" w:rsidRPr="00AA55D5" w:rsidRDefault="009A0015" w:rsidP="00AA55D5">
      <w:pPr>
        <w:pStyle w:val="AHPRASubhead"/>
        <w:rPr>
          <w:rFonts w:eastAsiaTheme="minorHAnsi"/>
          <w:color w:val="auto"/>
          <w:szCs w:val="20"/>
          <w:lang w:val="en-AU"/>
        </w:rPr>
      </w:pPr>
      <w:r>
        <w:rPr>
          <w:rFonts w:eastAsiaTheme="minorHAnsi"/>
          <w:color w:val="auto"/>
          <w:szCs w:val="20"/>
          <w:lang w:val="en-AU"/>
        </w:rPr>
        <w:t xml:space="preserve">Should the </w:t>
      </w:r>
      <w:r w:rsidR="00AA55D5" w:rsidRPr="00AA55D5">
        <w:rPr>
          <w:rFonts w:eastAsiaTheme="minorHAnsi"/>
          <w:color w:val="auto"/>
          <w:szCs w:val="20"/>
          <w:lang w:val="en-AU"/>
        </w:rPr>
        <w:t>Boards have an active role in defining the scope of practice for an infected practitioner</w:t>
      </w:r>
      <w:r w:rsidR="00FB4969">
        <w:rPr>
          <w:rFonts w:eastAsiaTheme="minorHAnsi"/>
          <w:color w:val="auto"/>
          <w:szCs w:val="20"/>
          <w:lang w:val="en-AU"/>
        </w:rPr>
        <w:t>?</w:t>
      </w:r>
    </w:p>
    <w:p w:rsidR="00AA55D5" w:rsidRDefault="00AA55D5" w:rsidP="00AA55D5">
      <w:pPr>
        <w:pStyle w:val="AHPRABulletlevel1"/>
        <w:numPr>
          <w:ilvl w:val="0"/>
          <w:numId w:val="0"/>
        </w:numPr>
      </w:pPr>
      <w:r>
        <w:t>The current CDNA guidelines contain an appendix in which exposure-prone procedures are listed</w:t>
      </w:r>
      <w:r w:rsidR="00DA460D">
        <w:t xml:space="preserve"> for some professions</w:t>
      </w:r>
      <w:r>
        <w:t>.  This is a useful guide for practitioners who are infected and their treating practitioners.</w:t>
      </w:r>
    </w:p>
    <w:p w:rsidR="00AA55D5" w:rsidRDefault="00AA55D5" w:rsidP="00AA55D5">
      <w:pPr>
        <w:pStyle w:val="AHPRABulletlevel1"/>
        <w:numPr>
          <w:ilvl w:val="0"/>
          <w:numId w:val="0"/>
        </w:numPr>
      </w:pPr>
    </w:p>
    <w:p w:rsidR="00AA55D5" w:rsidRDefault="0029201F" w:rsidP="004F5DBD">
      <w:pPr>
        <w:pStyle w:val="AHPRABulletlevel1"/>
        <w:numPr>
          <w:ilvl w:val="0"/>
          <w:numId w:val="0"/>
        </w:numPr>
      </w:pPr>
      <w:r>
        <w:rPr>
          <w:rFonts w:eastAsiaTheme="minorHAnsi"/>
          <w:szCs w:val="20"/>
          <w:lang w:val="en-AU"/>
        </w:rPr>
        <w:t>Some Boards may decide</w:t>
      </w:r>
      <w:r w:rsidR="004F5DBD">
        <w:rPr>
          <w:rFonts w:eastAsiaTheme="minorHAnsi"/>
          <w:szCs w:val="20"/>
          <w:lang w:val="en-AU"/>
        </w:rPr>
        <w:t xml:space="preserve"> that it is necessary for them</w:t>
      </w:r>
      <w:r>
        <w:rPr>
          <w:rFonts w:eastAsiaTheme="minorHAnsi"/>
          <w:szCs w:val="20"/>
          <w:lang w:val="en-AU"/>
        </w:rPr>
        <w:t xml:space="preserve"> to develop supplementary lists of exposure-prone procedures to support practitioners who have an infection and their treating doctors</w:t>
      </w:r>
      <w:r>
        <w:t xml:space="preserve">, </w:t>
      </w:r>
      <w:r w:rsidR="00D23546">
        <w:t xml:space="preserve">when </w:t>
      </w:r>
      <w:r>
        <w:t>the list in the CDNA guideline can be expanded.</w:t>
      </w:r>
      <w:r w:rsidR="004F5DBD">
        <w:t xml:space="preserve">  </w:t>
      </w:r>
    </w:p>
    <w:p w:rsidR="0029201F" w:rsidRDefault="0029201F" w:rsidP="002949DD">
      <w:pPr>
        <w:pStyle w:val="AHPRASubhead"/>
        <w:rPr>
          <w:rFonts w:eastAsiaTheme="minorHAnsi"/>
          <w:color w:val="auto"/>
          <w:szCs w:val="20"/>
          <w:lang w:val="en-AU"/>
        </w:rPr>
      </w:pPr>
    </w:p>
    <w:p w:rsidR="00450B63" w:rsidRDefault="00450B63" w:rsidP="002949DD">
      <w:pPr>
        <w:pStyle w:val="AHPRASubhead"/>
        <w:rPr>
          <w:rFonts w:eastAsiaTheme="minorHAnsi"/>
          <w:color w:val="auto"/>
          <w:szCs w:val="20"/>
          <w:lang w:val="en-AU"/>
        </w:rPr>
      </w:pPr>
      <w:r>
        <w:rPr>
          <w:rFonts w:eastAsiaTheme="minorHAnsi"/>
          <w:color w:val="auto"/>
          <w:szCs w:val="20"/>
          <w:lang w:val="en-AU"/>
        </w:rPr>
        <w:t xml:space="preserve">Release of information that a </w:t>
      </w:r>
      <w:r w:rsidR="00CE5C64" w:rsidRPr="00CE5C64">
        <w:rPr>
          <w:rFonts w:eastAsiaTheme="minorHAnsi"/>
          <w:color w:val="auto"/>
          <w:szCs w:val="20"/>
          <w:lang w:val="en-AU"/>
        </w:rPr>
        <w:t>practitioner is infected with a blood-borne virus</w:t>
      </w:r>
    </w:p>
    <w:p w:rsidR="00C444F6" w:rsidRDefault="00450B63" w:rsidP="002949DD">
      <w:pPr>
        <w:pStyle w:val="AHPRASubhead"/>
        <w:rPr>
          <w:rFonts w:eastAsiaTheme="minorHAnsi"/>
          <w:b w:val="0"/>
          <w:color w:val="auto"/>
          <w:szCs w:val="20"/>
          <w:lang w:val="en-AU"/>
        </w:rPr>
      </w:pPr>
      <w:r w:rsidRPr="00450B63">
        <w:rPr>
          <w:rFonts w:eastAsiaTheme="minorHAnsi"/>
          <w:b w:val="0"/>
          <w:color w:val="auto"/>
          <w:szCs w:val="20"/>
          <w:lang w:val="en-AU"/>
        </w:rPr>
        <w:t xml:space="preserve">Some stakeholders </w:t>
      </w:r>
      <w:r>
        <w:rPr>
          <w:rFonts w:eastAsiaTheme="minorHAnsi"/>
          <w:b w:val="0"/>
          <w:color w:val="auto"/>
          <w:szCs w:val="20"/>
          <w:lang w:val="en-AU"/>
        </w:rPr>
        <w:t xml:space="preserve">expressed a view that the </w:t>
      </w:r>
      <w:r w:rsidR="00D23546">
        <w:rPr>
          <w:rFonts w:eastAsiaTheme="minorHAnsi"/>
          <w:b w:val="0"/>
          <w:color w:val="auto"/>
          <w:szCs w:val="20"/>
          <w:lang w:val="en-AU"/>
        </w:rPr>
        <w:t xml:space="preserve">National </w:t>
      </w:r>
      <w:r>
        <w:rPr>
          <w:rFonts w:eastAsiaTheme="minorHAnsi"/>
          <w:b w:val="0"/>
          <w:color w:val="auto"/>
          <w:szCs w:val="20"/>
          <w:lang w:val="en-AU"/>
        </w:rPr>
        <w:t>Boards should inform the state health department</w:t>
      </w:r>
      <w:r w:rsidR="00C444F6">
        <w:rPr>
          <w:rFonts w:eastAsiaTheme="minorHAnsi"/>
          <w:b w:val="0"/>
          <w:color w:val="auto"/>
          <w:szCs w:val="20"/>
          <w:lang w:val="en-AU"/>
        </w:rPr>
        <w:t xml:space="preserve"> on learning that a health practitioner is infected with a blood-borne virus.</w:t>
      </w:r>
    </w:p>
    <w:p w:rsidR="00C444F6" w:rsidRPr="00C444F6" w:rsidRDefault="00C444F6" w:rsidP="00C444F6">
      <w:pPr>
        <w:pStyle w:val="AHPRASubhead"/>
        <w:rPr>
          <w:rFonts w:eastAsiaTheme="minorHAnsi"/>
          <w:b w:val="0"/>
          <w:color w:val="auto"/>
          <w:szCs w:val="20"/>
          <w:lang w:val="en-AU"/>
        </w:rPr>
      </w:pPr>
      <w:r w:rsidRPr="00C444F6">
        <w:rPr>
          <w:rFonts w:eastAsiaTheme="minorHAnsi"/>
          <w:b w:val="0"/>
          <w:color w:val="auto"/>
          <w:szCs w:val="20"/>
          <w:lang w:val="en-AU"/>
        </w:rPr>
        <w:t>The Boards have to comply with privacy legislation and the provisions on the release of</w:t>
      </w:r>
      <w:r>
        <w:rPr>
          <w:rFonts w:eastAsiaTheme="minorHAnsi"/>
          <w:color w:val="auto"/>
          <w:szCs w:val="20"/>
          <w:lang w:val="en-AU"/>
        </w:rPr>
        <w:t xml:space="preserve"> </w:t>
      </w:r>
      <w:r w:rsidRPr="00C444F6">
        <w:rPr>
          <w:rFonts w:eastAsiaTheme="minorHAnsi"/>
          <w:b w:val="0"/>
          <w:color w:val="auto"/>
          <w:szCs w:val="20"/>
          <w:lang w:val="en-AU"/>
        </w:rPr>
        <w:t xml:space="preserve">information in the National Law.  </w:t>
      </w:r>
    </w:p>
    <w:p w:rsidR="006E3AED" w:rsidRDefault="00C444F6" w:rsidP="00C444F6">
      <w:pPr>
        <w:pStyle w:val="AHPRASubhead"/>
        <w:rPr>
          <w:rFonts w:eastAsiaTheme="minorHAnsi"/>
          <w:b w:val="0"/>
          <w:color w:val="auto"/>
          <w:szCs w:val="20"/>
          <w:lang w:val="en-AU"/>
        </w:rPr>
      </w:pPr>
      <w:r w:rsidRPr="00C444F6">
        <w:rPr>
          <w:rFonts w:eastAsiaTheme="minorHAnsi"/>
          <w:b w:val="0"/>
          <w:color w:val="auto"/>
          <w:szCs w:val="20"/>
          <w:lang w:val="en-AU"/>
        </w:rPr>
        <w:t>The National Law provides that the Boards can give written notice to an entity of the Commonwealth or a State or Territory (a health department would fall into this description) that a registered health practitioner poses, or may pose a risk to public health if the Board considers that it may be necessary for the entity to take action in relation to that risk.</w:t>
      </w:r>
      <w:r w:rsidRPr="00E66607">
        <w:rPr>
          <w:rFonts w:eastAsiaTheme="minorHAnsi"/>
          <w:b w:val="0"/>
          <w:color w:val="auto"/>
          <w:szCs w:val="20"/>
          <w:vertAlign w:val="superscript"/>
          <w:lang w:val="en-AU"/>
        </w:rPr>
        <w:footnoteReference w:id="6"/>
      </w:r>
      <w:r w:rsidRPr="00E66607">
        <w:rPr>
          <w:rFonts w:eastAsiaTheme="minorHAnsi"/>
          <w:b w:val="0"/>
          <w:color w:val="auto"/>
          <w:szCs w:val="20"/>
          <w:vertAlign w:val="superscript"/>
          <w:lang w:val="en-AU"/>
        </w:rPr>
        <w:t xml:space="preserve"> </w:t>
      </w:r>
      <w:r w:rsidRPr="00C444F6">
        <w:rPr>
          <w:rFonts w:eastAsiaTheme="minorHAnsi"/>
          <w:b w:val="0"/>
          <w:color w:val="auto"/>
          <w:szCs w:val="20"/>
          <w:lang w:val="en-AU"/>
        </w:rPr>
        <w:t xml:space="preserve"> A practitioner with a blood-borne virus who had failed to comply or is refusing to comply with the </w:t>
      </w:r>
      <w:r w:rsidR="00C729F3">
        <w:rPr>
          <w:rFonts w:eastAsiaTheme="minorHAnsi"/>
          <w:b w:val="0"/>
          <w:color w:val="auto"/>
          <w:szCs w:val="20"/>
          <w:lang w:val="en-AU"/>
        </w:rPr>
        <w:t>CDNA</w:t>
      </w:r>
      <w:r w:rsidRPr="00C444F6">
        <w:rPr>
          <w:rFonts w:eastAsiaTheme="minorHAnsi"/>
          <w:b w:val="0"/>
          <w:color w:val="auto"/>
          <w:szCs w:val="20"/>
          <w:lang w:val="en-AU"/>
        </w:rPr>
        <w:t xml:space="preserve"> guidelines</w:t>
      </w:r>
      <w:r w:rsidR="00D23546">
        <w:rPr>
          <w:rFonts w:eastAsiaTheme="minorHAnsi"/>
          <w:b w:val="0"/>
          <w:color w:val="auto"/>
          <w:szCs w:val="20"/>
          <w:lang w:val="en-AU"/>
        </w:rPr>
        <w:t>,</w:t>
      </w:r>
      <w:r w:rsidRPr="00C444F6">
        <w:rPr>
          <w:rFonts w:eastAsiaTheme="minorHAnsi"/>
          <w:b w:val="0"/>
          <w:color w:val="auto"/>
          <w:szCs w:val="20"/>
          <w:lang w:val="en-AU"/>
        </w:rPr>
        <w:t xml:space="preserve"> has or is placing the public at risk and could therefore be notified to the health department on the basis that the department may need to take further action</w:t>
      </w:r>
      <w:r w:rsidR="00854758">
        <w:rPr>
          <w:rFonts w:eastAsiaTheme="minorHAnsi"/>
          <w:b w:val="0"/>
          <w:color w:val="auto"/>
          <w:szCs w:val="20"/>
          <w:lang w:val="en-AU"/>
        </w:rPr>
        <w:t>.</w:t>
      </w:r>
    </w:p>
    <w:p w:rsidR="002949DD" w:rsidRDefault="002949DD" w:rsidP="002949DD">
      <w:pPr>
        <w:pStyle w:val="AHPRASubhead"/>
      </w:pPr>
      <w:r>
        <w:t>Issues for consultation</w:t>
      </w:r>
    </w:p>
    <w:p w:rsidR="003D622B" w:rsidRDefault="002949DD" w:rsidP="003D622B">
      <w:pPr>
        <w:pStyle w:val="AHPRAbody"/>
      </w:pPr>
      <w:r>
        <w:t xml:space="preserve">The </w:t>
      </w:r>
      <w:r w:rsidR="00D23546">
        <w:t xml:space="preserve">National </w:t>
      </w:r>
      <w:r>
        <w:t xml:space="preserve">Boards are interested in </w:t>
      </w:r>
      <w:r w:rsidR="00944642">
        <w:t>your feedback</w:t>
      </w:r>
      <w:r>
        <w:t xml:space="preserve"> about the draft guidelines.</w:t>
      </w:r>
    </w:p>
    <w:p w:rsidR="002949DD" w:rsidRDefault="002949DD" w:rsidP="003D622B">
      <w:pPr>
        <w:pStyle w:val="AHPRAbody"/>
      </w:pPr>
      <w:r>
        <w:t>Specific questions that you might also want to address are:</w:t>
      </w:r>
    </w:p>
    <w:p w:rsidR="00996A3C" w:rsidRDefault="00996A3C" w:rsidP="0017316C">
      <w:pPr>
        <w:pStyle w:val="Default"/>
        <w:numPr>
          <w:ilvl w:val="0"/>
          <w:numId w:val="25"/>
        </w:numPr>
        <w:rPr>
          <w:rFonts w:ascii="Arial" w:eastAsia="Cambria" w:hAnsi="Arial" w:cs="Arial"/>
          <w:color w:val="auto"/>
          <w:sz w:val="20"/>
          <w:lang w:eastAsia="en-US"/>
        </w:rPr>
      </w:pPr>
      <w:r w:rsidRPr="00164A23">
        <w:rPr>
          <w:rFonts w:ascii="Arial" w:eastAsia="Cambria" w:hAnsi="Arial" w:cs="Arial"/>
          <w:color w:val="auto"/>
          <w:sz w:val="20"/>
          <w:lang w:eastAsia="en-US"/>
        </w:rPr>
        <w:t xml:space="preserve">Is a guideline necessary? </w:t>
      </w:r>
    </w:p>
    <w:p w:rsidR="00996A3C" w:rsidRPr="00164A23" w:rsidRDefault="00996A3C" w:rsidP="00996A3C">
      <w:pPr>
        <w:pStyle w:val="Default"/>
        <w:rPr>
          <w:rFonts w:ascii="Arial" w:eastAsia="Cambria" w:hAnsi="Arial" w:cs="Arial"/>
          <w:color w:val="auto"/>
          <w:sz w:val="20"/>
          <w:lang w:eastAsia="en-US"/>
        </w:rPr>
      </w:pPr>
    </w:p>
    <w:p w:rsidR="00996A3C" w:rsidRDefault="00996A3C" w:rsidP="0017316C">
      <w:pPr>
        <w:pStyle w:val="Default"/>
        <w:numPr>
          <w:ilvl w:val="0"/>
          <w:numId w:val="25"/>
        </w:numPr>
        <w:rPr>
          <w:rFonts w:ascii="Arial" w:eastAsia="Cambria" w:hAnsi="Arial" w:cs="Arial"/>
          <w:color w:val="auto"/>
          <w:sz w:val="20"/>
          <w:lang w:eastAsia="en-US"/>
        </w:rPr>
      </w:pPr>
      <w:r w:rsidRPr="00E66607">
        <w:rPr>
          <w:rFonts w:ascii="Arial" w:eastAsia="Cambria" w:hAnsi="Arial" w:cs="Arial"/>
          <w:color w:val="auto"/>
          <w:sz w:val="20"/>
          <w:lang w:eastAsia="en-US"/>
        </w:rPr>
        <w:t>Is the content of the guideline helpful, clear and relevant</w:t>
      </w:r>
      <w:r>
        <w:rPr>
          <w:rFonts w:ascii="Arial" w:eastAsia="Cambria" w:hAnsi="Arial" w:cs="Arial"/>
          <w:color w:val="auto"/>
          <w:sz w:val="20"/>
          <w:lang w:eastAsia="en-US"/>
        </w:rPr>
        <w:t>?</w:t>
      </w:r>
    </w:p>
    <w:p w:rsidR="00996A3C" w:rsidRDefault="00996A3C" w:rsidP="00996A3C">
      <w:pPr>
        <w:pStyle w:val="Default"/>
        <w:rPr>
          <w:rFonts w:ascii="Arial" w:eastAsia="Cambria" w:hAnsi="Arial" w:cs="Arial"/>
          <w:color w:val="auto"/>
          <w:sz w:val="20"/>
          <w:lang w:eastAsia="en-US"/>
        </w:rPr>
      </w:pPr>
    </w:p>
    <w:p w:rsidR="00996A3C" w:rsidRDefault="00996A3C" w:rsidP="0017316C">
      <w:pPr>
        <w:pStyle w:val="Default"/>
        <w:numPr>
          <w:ilvl w:val="0"/>
          <w:numId w:val="25"/>
        </w:numPr>
        <w:rPr>
          <w:rFonts w:ascii="Arial" w:eastAsia="Cambria" w:hAnsi="Arial" w:cs="Arial"/>
          <w:color w:val="auto"/>
          <w:sz w:val="20"/>
          <w:lang w:eastAsia="en-US"/>
        </w:rPr>
      </w:pPr>
      <w:r w:rsidRPr="00E66607">
        <w:rPr>
          <w:rFonts w:ascii="Arial" w:eastAsia="Cambria" w:hAnsi="Arial" w:cs="Arial"/>
          <w:color w:val="auto"/>
          <w:sz w:val="20"/>
          <w:lang w:eastAsia="en-US"/>
        </w:rPr>
        <w:t>Is there any content that needs to be changed, added or deleted in the guideline</w:t>
      </w:r>
      <w:r>
        <w:rPr>
          <w:rFonts w:ascii="Arial" w:eastAsia="Cambria" w:hAnsi="Arial" w:cs="Arial"/>
          <w:color w:val="auto"/>
          <w:sz w:val="20"/>
          <w:lang w:eastAsia="en-US"/>
        </w:rPr>
        <w:t>?</w:t>
      </w:r>
    </w:p>
    <w:p w:rsidR="00996A3C" w:rsidRDefault="00996A3C" w:rsidP="00996A3C">
      <w:pPr>
        <w:pStyle w:val="Default"/>
        <w:rPr>
          <w:rFonts w:ascii="Arial" w:eastAsia="Cambria" w:hAnsi="Arial" w:cs="Arial"/>
          <w:color w:val="auto"/>
          <w:sz w:val="20"/>
          <w:lang w:eastAsia="en-US"/>
        </w:rPr>
      </w:pPr>
    </w:p>
    <w:p w:rsidR="00996A3C" w:rsidRPr="00166CC1" w:rsidRDefault="00996A3C" w:rsidP="0017316C">
      <w:pPr>
        <w:pStyle w:val="Default"/>
        <w:numPr>
          <w:ilvl w:val="0"/>
          <w:numId w:val="25"/>
        </w:numPr>
        <w:rPr>
          <w:rFonts w:ascii="Arial" w:eastAsia="Cambria" w:hAnsi="Arial" w:cs="Arial"/>
          <w:color w:val="auto"/>
          <w:sz w:val="20"/>
          <w:lang w:eastAsia="en-US"/>
        </w:rPr>
      </w:pPr>
      <w:r w:rsidRPr="00166CC1">
        <w:rPr>
          <w:rFonts w:ascii="Arial" w:eastAsia="Cambria" w:hAnsi="Arial" w:cs="Arial"/>
          <w:color w:val="auto"/>
          <w:sz w:val="20"/>
          <w:lang w:eastAsia="en-US"/>
        </w:rPr>
        <w:t>Do you agree with the proposal that Boards expect registered health practitioners to comply with CDNA guidelines for the management of health practitioners infected with a blood-borne virus? That includes following advice on their scope of practice based on the CDNA guidelines.</w:t>
      </w:r>
    </w:p>
    <w:p w:rsidR="00996A3C" w:rsidRDefault="00996A3C" w:rsidP="00996A3C">
      <w:pPr>
        <w:pStyle w:val="Default"/>
        <w:rPr>
          <w:rFonts w:ascii="Arial" w:eastAsia="Cambria" w:hAnsi="Arial" w:cs="Arial"/>
          <w:color w:val="auto"/>
          <w:sz w:val="20"/>
          <w:lang w:eastAsia="en-US"/>
        </w:rPr>
      </w:pPr>
    </w:p>
    <w:p w:rsidR="00996A3C" w:rsidRPr="002A02E6" w:rsidRDefault="00996A3C" w:rsidP="0017316C">
      <w:pPr>
        <w:pStyle w:val="Default"/>
        <w:numPr>
          <w:ilvl w:val="0"/>
          <w:numId w:val="25"/>
        </w:numPr>
        <w:rPr>
          <w:rFonts w:ascii="Arial" w:eastAsia="Cambria" w:hAnsi="Arial" w:cs="Arial"/>
          <w:color w:val="auto"/>
          <w:sz w:val="20"/>
          <w:lang w:eastAsia="en-US"/>
        </w:rPr>
      </w:pPr>
      <w:r w:rsidRPr="00E66607">
        <w:rPr>
          <w:rFonts w:ascii="Arial" w:hAnsi="Arial"/>
          <w:sz w:val="20"/>
        </w:rPr>
        <w:t xml:space="preserve">Do you believe that there is any conflict between these guidelines and any other guidelines for the management of practitioners infected with a blood-borne virus? Is there any conflict with any obligations that may arise in the workplace? </w:t>
      </w:r>
    </w:p>
    <w:p w:rsidR="00996A3C" w:rsidRDefault="00996A3C" w:rsidP="00996A3C">
      <w:pPr>
        <w:pStyle w:val="Default"/>
        <w:rPr>
          <w:rFonts w:ascii="Arial" w:eastAsia="Cambria" w:hAnsi="Arial" w:cs="Arial"/>
          <w:color w:val="auto"/>
          <w:sz w:val="20"/>
          <w:lang w:eastAsia="en-US"/>
        </w:rPr>
      </w:pPr>
    </w:p>
    <w:p w:rsidR="00996A3C" w:rsidRPr="00E66607" w:rsidRDefault="00996A3C" w:rsidP="0017316C">
      <w:pPr>
        <w:pStyle w:val="Default"/>
        <w:numPr>
          <w:ilvl w:val="0"/>
          <w:numId w:val="25"/>
        </w:numPr>
        <w:rPr>
          <w:rFonts w:ascii="Arial" w:eastAsia="Cambria" w:hAnsi="Arial" w:cs="Arial"/>
          <w:color w:val="auto"/>
          <w:sz w:val="20"/>
          <w:lang w:eastAsia="en-US"/>
        </w:rPr>
      </w:pPr>
      <w:r w:rsidRPr="00E66607">
        <w:rPr>
          <w:rFonts w:ascii="Arial" w:eastAsia="Cambria" w:hAnsi="Arial" w:cs="Arial"/>
          <w:color w:val="auto"/>
          <w:sz w:val="20"/>
          <w:lang w:eastAsia="en-US"/>
        </w:rPr>
        <w:t>Is it reasonable and appropriate for the Board to take regulatory action only if a practitioner who is infected with a blood-borne virus is placing the public at risk?</w:t>
      </w:r>
    </w:p>
    <w:p w:rsidR="00996A3C" w:rsidRDefault="00996A3C" w:rsidP="00996A3C">
      <w:pPr>
        <w:pStyle w:val="Default"/>
        <w:rPr>
          <w:rFonts w:ascii="Arial" w:eastAsia="Cambria" w:hAnsi="Arial" w:cs="Arial"/>
          <w:color w:val="auto"/>
          <w:sz w:val="20"/>
          <w:lang w:eastAsia="en-US"/>
        </w:rPr>
      </w:pPr>
    </w:p>
    <w:p w:rsidR="00996A3C" w:rsidRPr="00E66607" w:rsidRDefault="00996A3C" w:rsidP="0017316C">
      <w:pPr>
        <w:pStyle w:val="Default"/>
        <w:numPr>
          <w:ilvl w:val="0"/>
          <w:numId w:val="25"/>
        </w:numPr>
        <w:rPr>
          <w:rFonts w:ascii="Arial" w:eastAsia="Cambria" w:hAnsi="Arial" w:cs="Arial"/>
          <w:color w:val="auto"/>
          <w:sz w:val="20"/>
          <w:lang w:eastAsia="en-US"/>
        </w:rPr>
      </w:pPr>
      <w:r w:rsidRPr="00E66607">
        <w:rPr>
          <w:rFonts w:ascii="Arial" w:eastAsia="Cambria" w:hAnsi="Arial" w:cs="Arial"/>
          <w:color w:val="auto"/>
          <w:sz w:val="20"/>
          <w:lang w:eastAsia="en-US"/>
        </w:rPr>
        <w:t xml:space="preserve">Do you have any other comments on the guideline? </w:t>
      </w:r>
    </w:p>
    <w:p w:rsidR="00996A3C" w:rsidRDefault="00996A3C" w:rsidP="00996A3C">
      <w:pPr>
        <w:pStyle w:val="Default"/>
        <w:rPr>
          <w:rFonts w:ascii="Arial" w:eastAsia="Cambria" w:hAnsi="Arial" w:cs="Arial"/>
          <w:color w:val="auto"/>
          <w:sz w:val="20"/>
          <w:lang w:eastAsia="en-US"/>
        </w:rPr>
      </w:pPr>
    </w:p>
    <w:p w:rsidR="00900921" w:rsidRDefault="00900921" w:rsidP="00900921">
      <w:pPr>
        <w:pStyle w:val="AHPRADocumenttitle"/>
      </w:pPr>
    </w:p>
    <w:p w:rsidR="00900921" w:rsidRDefault="00900921" w:rsidP="00900921">
      <w:pPr>
        <w:pStyle w:val="AHPRADocumenttitle"/>
      </w:pPr>
    </w:p>
    <w:p w:rsidR="003A7697" w:rsidRDefault="003A7697" w:rsidP="004328EF">
      <w:pPr>
        <w:pStyle w:val="AHPRADocumenttitle"/>
        <w:pBdr>
          <w:bottom w:val="single" w:sz="4" w:space="1" w:color="auto"/>
        </w:pBdr>
        <w:tabs>
          <w:tab w:val="left" w:pos="1985"/>
          <w:tab w:val="left" w:pos="2410"/>
        </w:tabs>
        <w:ind w:left="-1134" w:right="6804" w:firstLine="1134"/>
        <w:sectPr w:rsidR="003A7697">
          <w:headerReference w:type="default" r:id="rId11"/>
          <w:footerReference w:type="even" r:id="rId12"/>
          <w:footerReference w:type="default" r:id="rId13"/>
          <w:headerReference w:type="first" r:id="rId14"/>
          <w:footerReference w:type="first" r:id="rId15"/>
          <w:pgSz w:w="11900" w:h="16840"/>
          <w:pgMar w:top="1668" w:right="1268" w:bottom="1702" w:left="1134" w:header="283" w:footer="326" w:gutter="0"/>
          <w:cols w:space="708"/>
          <w:titlePg/>
          <w:docGrid w:linePitch="326"/>
        </w:sectPr>
      </w:pPr>
    </w:p>
    <w:p w:rsidR="003A7697" w:rsidRDefault="003A7697" w:rsidP="003A7697">
      <w:pPr>
        <w:pStyle w:val="AHPRADocumenttitle"/>
        <w:pBdr>
          <w:bottom w:val="single" w:sz="4" w:space="1" w:color="auto"/>
        </w:pBdr>
        <w:ind w:right="5340"/>
      </w:pPr>
    </w:p>
    <w:p w:rsidR="003A7697" w:rsidRDefault="003A7697" w:rsidP="003A7697">
      <w:pPr>
        <w:pStyle w:val="AHPRADocumenttitle"/>
        <w:pBdr>
          <w:bottom w:val="single" w:sz="4" w:space="1" w:color="auto"/>
        </w:pBdr>
        <w:ind w:right="5340"/>
      </w:pPr>
    </w:p>
    <w:p w:rsidR="00900921" w:rsidRPr="00554335" w:rsidRDefault="004328EF" w:rsidP="003A7697">
      <w:pPr>
        <w:pStyle w:val="AHPRADocumenttitle"/>
        <w:pBdr>
          <w:bottom w:val="single" w:sz="4" w:space="1" w:color="auto"/>
        </w:pBdr>
        <w:ind w:right="5340"/>
      </w:pPr>
      <w:r>
        <w:t>D</w:t>
      </w:r>
      <w:r w:rsidR="003A7697">
        <w:t>r</w:t>
      </w:r>
      <w:r>
        <w:t xml:space="preserve">aft </w:t>
      </w:r>
      <w:r w:rsidR="006B1F0D">
        <w:t>Guidelines</w:t>
      </w:r>
    </w:p>
    <w:p w:rsidR="00900921" w:rsidRPr="00554335" w:rsidRDefault="00900921" w:rsidP="00900921">
      <w:pPr>
        <w:pStyle w:val="AHPRAHeadline"/>
        <w:outlineLvl w:val="0"/>
      </w:pPr>
    </w:p>
    <w:p w:rsidR="00900921" w:rsidRPr="00E73698" w:rsidRDefault="00CB4013" w:rsidP="00900921">
      <w:pPr>
        <w:pStyle w:val="AHPRAbodytext"/>
      </w:pPr>
      <w:r>
        <w:t>2</w:t>
      </w:r>
      <w:r w:rsidR="00FB4969">
        <w:t>4</w:t>
      </w:r>
      <w:r>
        <w:t xml:space="preserve"> July 2014</w:t>
      </w:r>
    </w:p>
    <w:p w:rsidR="00900921" w:rsidRDefault="00900921" w:rsidP="00900921">
      <w:pPr>
        <w:pStyle w:val="AHPRADocumentsubheading"/>
      </w:pPr>
      <w:r>
        <w:t>The</w:t>
      </w:r>
      <w:r w:rsidR="00BB14E6">
        <w:t xml:space="preserve"> regulatory</w:t>
      </w:r>
      <w:r>
        <w:t xml:space="preserve"> management of registered health practitioners and students infected with blood-borne viruses</w:t>
      </w:r>
    </w:p>
    <w:p w:rsidR="002A02E6" w:rsidRDefault="002A02E6" w:rsidP="002A02E6">
      <w:pPr>
        <w:pStyle w:val="AHPRASubheading"/>
        <w:rPr>
          <w:lang w:val="en-AU"/>
        </w:rPr>
      </w:pPr>
      <w:r w:rsidRPr="008F5F5E">
        <w:rPr>
          <w:lang w:val="en-AU"/>
        </w:rPr>
        <w:t>About the National Boards and AHPRA</w:t>
      </w:r>
    </w:p>
    <w:p w:rsidR="0030647E" w:rsidRDefault="000A3880">
      <w:pPr>
        <w:autoSpaceDE w:val="0"/>
        <w:autoSpaceDN w:val="0"/>
        <w:adjustRightInd w:val="0"/>
        <w:spacing w:after="0" w:line="240" w:lineRule="auto"/>
        <w:rPr>
          <w:rFonts w:ascii="Arial" w:eastAsia="Cambria" w:hAnsi="Arial" w:cs="Arial"/>
          <w:bCs/>
          <w:sz w:val="20"/>
          <w:szCs w:val="24"/>
        </w:rPr>
      </w:pPr>
      <w:r w:rsidRPr="000A3880">
        <w:rPr>
          <w:rFonts w:ascii="Arial" w:eastAsia="Cambria" w:hAnsi="Arial" w:cs="Arial"/>
          <w:bCs/>
          <w:sz w:val="20"/>
          <w:szCs w:val="24"/>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30647E" w:rsidRDefault="0030647E">
      <w:pPr>
        <w:autoSpaceDE w:val="0"/>
        <w:autoSpaceDN w:val="0"/>
        <w:adjustRightInd w:val="0"/>
        <w:spacing w:after="0" w:line="240" w:lineRule="auto"/>
        <w:rPr>
          <w:rFonts w:ascii="Arial" w:eastAsia="Cambria" w:hAnsi="Arial" w:cs="Arial"/>
          <w:bCs/>
          <w:sz w:val="20"/>
          <w:szCs w:val="24"/>
        </w:rPr>
      </w:pPr>
    </w:p>
    <w:p w:rsidR="0030647E" w:rsidRDefault="000A3880">
      <w:pPr>
        <w:autoSpaceDE w:val="0"/>
        <w:autoSpaceDN w:val="0"/>
        <w:adjustRightInd w:val="0"/>
        <w:spacing w:after="0" w:line="240" w:lineRule="auto"/>
        <w:rPr>
          <w:rFonts w:ascii="Arial" w:eastAsia="Cambria" w:hAnsi="Arial" w:cs="Arial"/>
          <w:bCs/>
          <w:sz w:val="20"/>
          <w:szCs w:val="24"/>
        </w:rPr>
      </w:pPr>
      <w:r w:rsidRPr="000A3880">
        <w:rPr>
          <w:rFonts w:ascii="Arial" w:eastAsia="Cambria" w:hAnsi="Arial" w:cs="Arial"/>
          <w:bCs/>
          <w:sz w:val="20"/>
          <w:szCs w:val="24"/>
        </w:rPr>
        <w:t>The Australian Health Practitioner Regulation Agency (AHPRA) works in partnership with the National</w:t>
      </w:r>
    </w:p>
    <w:p w:rsidR="0030647E" w:rsidRDefault="000A3880">
      <w:pPr>
        <w:autoSpaceDE w:val="0"/>
        <w:autoSpaceDN w:val="0"/>
        <w:adjustRightInd w:val="0"/>
        <w:spacing w:after="0" w:line="240" w:lineRule="auto"/>
        <w:rPr>
          <w:rFonts w:ascii="Arial" w:eastAsia="Cambria" w:hAnsi="Arial" w:cs="Arial"/>
          <w:bCs/>
          <w:sz w:val="20"/>
          <w:szCs w:val="24"/>
        </w:rPr>
      </w:pPr>
      <w:r w:rsidRPr="000A3880">
        <w:rPr>
          <w:rFonts w:ascii="Arial" w:eastAsia="Cambria" w:hAnsi="Arial" w:cs="Arial"/>
          <w:bCs/>
          <w:sz w:val="20"/>
          <w:szCs w:val="24"/>
        </w:rPr>
        <w:t>Boards to implement the National Registration and Accreditation Scheme, under the Health Practitioner Regulation National Law, as in force in each state and territory (the National Law).</w:t>
      </w:r>
    </w:p>
    <w:p w:rsidR="0030647E" w:rsidRDefault="0030647E">
      <w:pPr>
        <w:autoSpaceDE w:val="0"/>
        <w:autoSpaceDN w:val="0"/>
        <w:adjustRightInd w:val="0"/>
        <w:spacing w:after="0" w:line="240" w:lineRule="auto"/>
        <w:rPr>
          <w:rFonts w:ascii="Arial" w:hAnsi="Arial" w:cs="Arial"/>
          <w:sz w:val="20"/>
          <w:szCs w:val="20"/>
        </w:rPr>
      </w:pPr>
    </w:p>
    <w:p w:rsidR="0030647E" w:rsidRDefault="002A02E6">
      <w:pPr>
        <w:autoSpaceDE w:val="0"/>
        <w:autoSpaceDN w:val="0"/>
        <w:adjustRightInd w:val="0"/>
        <w:spacing w:after="0" w:line="240" w:lineRule="auto"/>
        <w:rPr>
          <w:rFonts w:cs="Arial"/>
        </w:rPr>
      </w:pPr>
      <w:r w:rsidRPr="005D7B24">
        <w:rPr>
          <w:rFonts w:ascii="Arial" w:hAnsi="Arial" w:cs="Arial"/>
          <w:sz w:val="20"/>
          <w:szCs w:val="20"/>
        </w:rPr>
        <w:t>The core role of the National Boards and AHPRA is to protect the public.</w:t>
      </w:r>
    </w:p>
    <w:p w:rsidR="002A02E6" w:rsidRDefault="002A02E6" w:rsidP="002A02E6">
      <w:pPr>
        <w:pStyle w:val="AHPRASubheading"/>
      </w:pPr>
      <w:r w:rsidRPr="005D7B24">
        <w:t>About these guidelines</w:t>
      </w:r>
    </w:p>
    <w:p w:rsidR="002A02E6" w:rsidRPr="00F62500" w:rsidRDefault="002A02E6" w:rsidP="002A02E6">
      <w:pPr>
        <w:pStyle w:val="AHPRAbody"/>
        <w:rPr>
          <w:bCs/>
        </w:rPr>
      </w:pPr>
      <w:r w:rsidRPr="00F62500">
        <w:rPr>
          <w:bCs/>
        </w:rPr>
        <w:t xml:space="preserve">These guidelines have been developed jointly by the </w:t>
      </w:r>
      <w:r>
        <w:rPr>
          <w:bCs/>
        </w:rPr>
        <w:t>N</w:t>
      </w:r>
      <w:r w:rsidRPr="00F62500">
        <w:rPr>
          <w:bCs/>
        </w:rPr>
        <w:t xml:space="preserve">ational </w:t>
      </w:r>
      <w:r>
        <w:rPr>
          <w:bCs/>
        </w:rPr>
        <w:t>B</w:t>
      </w:r>
      <w:r w:rsidRPr="00F62500">
        <w:rPr>
          <w:bCs/>
        </w:rPr>
        <w:t>oards under s</w:t>
      </w:r>
      <w:r>
        <w:rPr>
          <w:bCs/>
        </w:rPr>
        <w:t xml:space="preserve">ection 39 of the </w:t>
      </w:r>
      <w:r w:rsidR="008947AA">
        <w:rPr>
          <w:bCs/>
        </w:rPr>
        <w:t>National Law</w:t>
      </w:r>
      <w:r w:rsidRPr="00F62500">
        <w:rPr>
          <w:bCs/>
          <w:i/>
        </w:rPr>
        <w:t xml:space="preserve">. </w:t>
      </w:r>
      <w:r w:rsidRPr="00F62500">
        <w:rPr>
          <w:bCs/>
        </w:rPr>
        <w:t xml:space="preserve">The guidelines are developed to provide </w:t>
      </w:r>
      <w:r>
        <w:rPr>
          <w:bCs/>
        </w:rPr>
        <w:t>guidance</w:t>
      </w:r>
      <w:r w:rsidRPr="00F62500">
        <w:rPr>
          <w:bCs/>
        </w:rPr>
        <w:t xml:space="preserve"> to </w:t>
      </w:r>
      <w:r>
        <w:rPr>
          <w:bCs/>
        </w:rPr>
        <w:t>registered health practitioners</w:t>
      </w:r>
      <w:r w:rsidR="00EC07FC">
        <w:rPr>
          <w:bCs/>
        </w:rPr>
        <w:t>,</w:t>
      </w:r>
      <w:r>
        <w:rPr>
          <w:bCs/>
        </w:rPr>
        <w:t xml:space="preserve"> registered health practitioner students</w:t>
      </w:r>
      <w:r w:rsidRPr="00F62500">
        <w:rPr>
          <w:bCs/>
        </w:rPr>
        <w:t xml:space="preserve"> </w:t>
      </w:r>
      <w:r>
        <w:rPr>
          <w:bCs/>
        </w:rPr>
        <w:t xml:space="preserve">and treating practitioners </w:t>
      </w:r>
      <w:r w:rsidRPr="00F62500">
        <w:rPr>
          <w:bCs/>
        </w:rPr>
        <w:t>about the</w:t>
      </w:r>
      <w:r>
        <w:rPr>
          <w:bCs/>
        </w:rPr>
        <w:t xml:space="preserve"> regulatory management of registered health practitioners and students infected with blood-borne viruses. </w:t>
      </w:r>
    </w:p>
    <w:p w:rsidR="002A02E6" w:rsidRPr="00F62500" w:rsidRDefault="002A02E6" w:rsidP="002A02E6">
      <w:pPr>
        <w:pStyle w:val="AHPRAbody"/>
        <w:rPr>
          <w:bCs/>
        </w:rPr>
      </w:pPr>
      <w:r w:rsidRPr="00F62500">
        <w:rPr>
          <w:bCs/>
        </w:rPr>
        <w:t>The relevant sections of the National Law are attached.</w:t>
      </w:r>
    </w:p>
    <w:p w:rsidR="002A02E6" w:rsidRDefault="002A02E6" w:rsidP="002A02E6">
      <w:pPr>
        <w:pStyle w:val="AHPRASubheading"/>
      </w:pPr>
      <w:r w:rsidRPr="005D7B24">
        <w:t>Who needs to use these guidelines?</w:t>
      </w:r>
    </w:p>
    <w:p w:rsidR="002A02E6" w:rsidRPr="00F62500" w:rsidRDefault="002A02E6" w:rsidP="002A02E6">
      <w:pPr>
        <w:pStyle w:val="AHPRAbody"/>
        <w:spacing w:after="120"/>
      </w:pPr>
      <w:r w:rsidRPr="00F62500">
        <w:t>These guidelines are relevant to:</w:t>
      </w:r>
    </w:p>
    <w:p w:rsidR="002A02E6" w:rsidRDefault="002A02E6" w:rsidP="002A02E6">
      <w:pPr>
        <w:pStyle w:val="AHPRABulletlevel1"/>
        <w:ind w:left="369" w:hanging="369"/>
        <w:rPr>
          <w:rFonts w:cs="Arial"/>
        </w:rPr>
      </w:pPr>
      <w:r w:rsidRPr="00F62500">
        <w:rPr>
          <w:rFonts w:cs="Arial"/>
        </w:rPr>
        <w:t>health practitioners registered under the National Law</w:t>
      </w:r>
    </w:p>
    <w:p w:rsidR="002A02E6" w:rsidRPr="00F62500" w:rsidRDefault="002A02E6" w:rsidP="002A02E6">
      <w:pPr>
        <w:pStyle w:val="AHPRABulletlevel1"/>
        <w:ind w:left="369" w:hanging="369"/>
        <w:rPr>
          <w:rFonts w:cs="Arial"/>
        </w:rPr>
      </w:pPr>
      <w:r>
        <w:rPr>
          <w:rFonts w:cs="Arial"/>
        </w:rPr>
        <w:t>students registered under the National Law, and</w:t>
      </w:r>
    </w:p>
    <w:p w:rsidR="0030647E" w:rsidRDefault="002A02E6">
      <w:pPr>
        <w:pStyle w:val="AHPRABulletlevel1"/>
        <w:ind w:left="369" w:hanging="369"/>
        <w:rPr>
          <w:rFonts w:cs="Arial"/>
        </w:rPr>
      </w:pPr>
      <w:r>
        <w:rPr>
          <w:rFonts w:cs="Arial"/>
        </w:rPr>
        <w:t>practitioners</w:t>
      </w:r>
      <w:r w:rsidR="008947AA">
        <w:rPr>
          <w:rFonts w:cs="Arial"/>
        </w:rPr>
        <w:t xml:space="preserve"> who are treating health practitioners or students who are infected with a blood-borne virus</w:t>
      </w:r>
      <w:r>
        <w:rPr>
          <w:rFonts w:cs="Arial"/>
        </w:rPr>
        <w:t>.</w:t>
      </w:r>
    </w:p>
    <w:p w:rsidR="0030647E" w:rsidRDefault="0030647E">
      <w:pPr>
        <w:pStyle w:val="AHPRABulletlevel1"/>
        <w:numPr>
          <w:ilvl w:val="0"/>
          <w:numId w:val="0"/>
        </w:numPr>
        <w:rPr>
          <w:rFonts w:cs="Arial"/>
        </w:rPr>
      </w:pPr>
    </w:p>
    <w:p w:rsidR="0030647E" w:rsidRDefault="00995FE1">
      <w:pPr>
        <w:pStyle w:val="AHPRABulletlevel1"/>
        <w:numPr>
          <w:ilvl w:val="0"/>
          <w:numId w:val="0"/>
        </w:numPr>
        <w:rPr>
          <w:rFonts w:cs="Arial"/>
        </w:rPr>
      </w:pPr>
      <w:r>
        <w:rPr>
          <w:rFonts w:cs="Arial"/>
        </w:rPr>
        <w:t>Education providers and employers may also bring the guidelines to the attention of their students and employees respectively.</w:t>
      </w:r>
      <w:r w:rsidR="00EC07FC">
        <w:rPr>
          <w:rFonts w:cs="Arial"/>
        </w:rPr>
        <w:t xml:space="preserve"> </w:t>
      </w:r>
    </w:p>
    <w:p w:rsidR="0030647E" w:rsidRDefault="008947AA">
      <w:pPr>
        <w:pStyle w:val="AHPRANumberedsubheadinglevel1"/>
        <w:numPr>
          <w:ilvl w:val="0"/>
          <w:numId w:val="0"/>
        </w:numPr>
      </w:pPr>
      <w:bookmarkStart w:id="3" w:name="_Toc341256666"/>
      <w:bookmarkStart w:id="4" w:name="_Toc379555926"/>
      <w:r>
        <w:t xml:space="preserve">What is the </w:t>
      </w:r>
      <w:bookmarkStart w:id="5" w:name="_Toc341256668"/>
      <w:bookmarkEnd w:id="3"/>
      <w:r>
        <w:t>purpose</w:t>
      </w:r>
      <w:bookmarkEnd w:id="5"/>
      <w:r>
        <w:t xml:space="preserve"> of these guidelines?</w:t>
      </w:r>
      <w:bookmarkEnd w:id="4"/>
    </w:p>
    <w:p w:rsidR="00900921" w:rsidRDefault="00900921" w:rsidP="00900921">
      <w:pPr>
        <w:pStyle w:val="NormalWeb"/>
        <w:spacing w:before="2" w:after="2"/>
        <w:rPr>
          <w:rFonts w:ascii="Arial" w:hAnsi="Arial"/>
        </w:rPr>
      </w:pPr>
      <w:r>
        <w:rPr>
          <w:rFonts w:ascii="Arial" w:hAnsi="Arial"/>
        </w:rPr>
        <w:t>The</w:t>
      </w:r>
      <w:r w:rsidR="0062142B">
        <w:rPr>
          <w:rFonts w:ascii="Arial" w:hAnsi="Arial"/>
        </w:rPr>
        <w:t>se</w:t>
      </w:r>
      <w:r>
        <w:rPr>
          <w:rFonts w:ascii="Arial" w:hAnsi="Arial"/>
        </w:rPr>
        <w:t xml:space="preserve"> guidelines:</w:t>
      </w:r>
    </w:p>
    <w:p w:rsidR="0030647E" w:rsidRDefault="00BB14E6">
      <w:pPr>
        <w:pStyle w:val="AHPRAnumberedbulletpoint"/>
        <w:numPr>
          <w:ilvl w:val="0"/>
          <w:numId w:val="11"/>
        </w:numPr>
        <w:spacing w:before="200" w:after="200"/>
      </w:pPr>
      <w:r>
        <w:t>i</w:t>
      </w:r>
      <w:r w:rsidR="00F67074">
        <w:t xml:space="preserve">nform </w:t>
      </w:r>
      <w:r w:rsidR="00E646CE">
        <w:t xml:space="preserve">all </w:t>
      </w:r>
      <w:r w:rsidR="00F67074">
        <w:t xml:space="preserve">practitioners that they </w:t>
      </w:r>
      <w:r w:rsidR="00443A8B">
        <w:t>must</w:t>
      </w:r>
      <w:r w:rsidR="00F67074">
        <w:t xml:space="preserve"> comply with </w:t>
      </w:r>
      <w:r w:rsidR="00443A8B">
        <w:t xml:space="preserve">the </w:t>
      </w:r>
      <w:r w:rsidR="00C729F3">
        <w:t>CDNA</w:t>
      </w:r>
      <w:r w:rsidR="00CB4013">
        <w:t xml:space="preserve"> (Communicable Diseases Network Australia)</w:t>
      </w:r>
      <w:r w:rsidR="00152836" w:rsidRPr="00152836">
        <w:t xml:space="preserve"> guidelines</w:t>
      </w:r>
      <w:r w:rsidR="00C729F3">
        <w:t xml:space="preserve"> </w:t>
      </w:r>
      <w:r w:rsidR="00152836" w:rsidRPr="00152836">
        <w:t xml:space="preserve">as current and as revised in the future (the </w:t>
      </w:r>
      <w:r w:rsidR="00C729F3">
        <w:t>CDNA</w:t>
      </w:r>
      <w:r w:rsidR="00152836" w:rsidRPr="00152836">
        <w:t xml:space="preserve"> guidelines) </w:t>
      </w:r>
      <w:r w:rsidR="00F67074">
        <w:t>for health practitioners infected with a blood-borne virus</w:t>
      </w:r>
    </w:p>
    <w:p w:rsidR="00900921" w:rsidRPr="00816C55" w:rsidRDefault="00900921" w:rsidP="00900921">
      <w:pPr>
        <w:pStyle w:val="AHPRAnumberedbulletpoint"/>
        <w:spacing w:before="200" w:after="200"/>
        <w:ind w:left="425" w:hanging="425"/>
      </w:pPr>
      <w:r w:rsidRPr="00816C55">
        <w:t>explain the circumstances when a practitioner treating a registered health practitioner or student may have a responsibility to notify the relevant Board of their patient’s infective status</w:t>
      </w:r>
    </w:p>
    <w:p w:rsidR="00900921" w:rsidRPr="00816C55" w:rsidRDefault="00900921" w:rsidP="00900921">
      <w:pPr>
        <w:pStyle w:val="AHPRAnumberedbulletpoint"/>
        <w:spacing w:before="200" w:after="200"/>
        <w:ind w:left="426" w:hanging="426"/>
      </w:pPr>
      <w:r w:rsidRPr="00816C55">
        <w:t>provide information on the range of actions that a Board may take if it receives a notification that a registered health practitioner or student is infected with a blood-borne virus.</w:t>
      </w:r>
    </w:p>
    <w:p w:rsidR="00951FB2" w:rsidRDefault="009824C4" w:rsidP="00900921">
      <w:pPr>
        <w:pStyle w:val="NormalWeb"/>
        <w:spacing w:before="2" w:after="2"/>
        <w:rPr>
          <w:rFonts w:ascii="Arial" w:hAnsi="Arial"/>
        </w:rPr>
      </w:pPr>
      <w:r>
        <w:rPr>
          <w:rFonts w:ascii="Arial" w:hAnsi="Arial"/>
        </w:rPr>
        <w:t xml:space="preserve">These guidelines take a risk-based approach to the regulatory management of practitioners with a blood-borne virus.  Practitioners who are not impaired as defined in the National Law can continue to practise their profession as long as they comply with the </w:t>
      </w:r>
      <w:r w:rsidR="0055288D">
        <w:rPr>
          <w:rFonts w:ascii="Arial" w:hAnsi="Arial"/>
        </w:rPr>
        <w:t>CDNA</w:t>
      </w:r>
      <w:r>
        <w:rPr>
          <w:rFonts w:ascii="Arial" w:hAnsi="Arial"/>
        </w:rPr>
        <w:t xml:space="preserve"> guidelines</w:t>
      </w:r>
      <w:r w:rsidR="00443A8B">
        <w:rPr>
          <w:rFonts w:ascii="Arial" w:hAnsi="Arial"/>
        </w:rPr>
        <w:t xml:space="preserve"> that are in place at the time</w:t>
      </w:r>
      <w:r>
        <w:rPr>
          <w:rFonts w:ascii="Arial" w:hAnsi="Arial"/>
        </w:rPr>
        <w:t xml:space="preserve">. </w:t>
      </w:r>
      <w:r w:rsidR="00951FB2">
        <w:rPr>
          <w:rFonts w:ascii="Arial" w:hAnsi="Arial"/>
        </w:rPr>
        <w:t xml:space="preserve"> </w:t>
      </w:r>
    </w:p>
    <w:p w:rsidR="00951FB2" w:rsidRDefault="00951FB2" w:rsidP="00900921">
      <w:pPr>
        <w:pStyle w:val="NormalWeb"/>
        <w:spacing w:before="2" w:after="2"/>
        <w:rPr>
          <w:rFonts w:ascii="Arial" w:hAnsi="Arial"/>
        </w:rPr>
      </w:pPr>
    </w:p>
    <w:p w:rsidR="00951FB2" w:rsidRDefault="00951FB2" w:rsidP="00900921">
      <w:pPr>
        <w:pStyle w:val="NormalWeb"/>
        <w:spacing w:before="2" w:after="2"/>
        <w:rPr>
          <w:rFonts w:ascii="Arial" w:hAnsi="Arial"/>
        </w:rPr>
      </w:pPr>
      <w:r>
        <w:rPr>
          <w:rFonts w:ascii="Arial" w:hAnsi="Arial"/>
        </w:rPr>
        <w:t>Impairment under the National Law is defined as:</w:t>
      </w:r>
    </w:p>
    <w:p w:rsidR="00951FB2" w:rsidRDefault="00951FB2" w:rsidP="00900921">
      <w:pPr>
        <w:pStyle w:val="NormalWeb"/>
        <w:spacing w:before="2" w:after="2"/>
        <w:rPr>
          <w:rFonts w:ascii="Arial" w:hAnsi="Arial"/>
        </w:rPr>
      </w:pPr>
    </w:p>
    <w:p w:rsidR="00951FB2" w:rsidRPr="00951FB2" w:rsidRDefault="00951FB2" w:rsidP="00951FB2">
      <w:pPr>
        <w:autoSpaceDE w:val="0"/>
        <w:autoSpaceDN w:val="0"/>
        <w:adjustRightInd w:val="0"/>
        <w:spacing w:after="120"/>
        <w:ind w:left="284"/>
        <w:rPr>
          <w:rFonts w:ascii="Arial" w:hAnsi="Arial"/>
          <w:i/>
          <w:sz w:val="20"/>
          <w:szCs w:val="20"/>
        </w:rPr>
      </w:pPr>
      <w:r w:rsidRPr="00951FB2">
        <w:rPr>
          <w:rFonts w:ascii="Arial" w:hAnsi="Arial"/>
          <w:i/>
          <w:sz w:val="20"/>
          <w:szCs w:val="20"/>
        </w:rPr>
        <w:t>in relation to a person, means the person has a physical or mental impairment, disability, condition or disorder (including substance abuse or dependence) that detrimentally affects or is likely to detrimentally affect—</w:t>
      </w:r>
    </w:p>
    <w:p w:rsidR="00951FB2" w:rsidRPr="00951FB2" w:rsidRDefault="00951FB2" w:rsidP="00951FB2">
      <w:pPr>
        <w:autoSpaceDE w:val="0"/>
        <w:autoSpaceDN w:val="0"/>
        <w:adjustRightInd w:val="0"/>
        <w:spacing w:after="0"/>
        <w:ind w:left="993" w:hanging="425"/>
        <w:rPr>
          <w:rFonts w:ascii="Arial" w:hAnsi="Arial"/>
          <w:i/>
          <w:sz w:val="20"/>
          <w:szCs w:val="20"/>
        </w:rPr>
      </w:pPr>
      <w:r w:rsidRPr="00951FB2">
        <w:rPr>
          <w:rFonts w:ascii="Arial" w:hAnsi="Arial"/>
          <w:i/>
          <w:sz w:val="20"/>
          <w:szCs w:val="20"/>
        </w:rPr>
        <w:t xml:space="preserve">(a) </w:t>
      </w:r>
      <w:r w:rsidRPr="00951FB2">
        <w:rPr>
          <w:rFonts w:ascii="Arial" w:hAnsi="Arial"/>
          <w:i/>
          <w:sz w:val="20"/>
          <w:szCs w:val="20"/>
        </w:rPr>
        <w:tab/>
        <w:t>for a registered health practitioner or an applicant for registration in a health profession, the person’s capacity to practise the profession; or</w:t>
      </w:r>
    </w:p>
    <w:p w:rsidR="00951FB2" w:rsidRPr="00951FB2" w:rsidRDefault="00951FB2" w:rsidP="00951FB2">
      <w:pPr>
        <w:tabs>
          <w:tab w:val="left" w:pos="993"/>
        </w:tabs>
        <w:autoSpaceDE w:val="0"/>
        <w:autoSpaceDN w:val="0"/>
        <w:adjustRightInd w:val="0"/>
        <w:spacing w:after="0"/>
        <w:ind w:left="568" w:hanging="1134"/>
        <w:rPr>
          <w:rFonts w:ascii="Arial" w:hAnsi="Arial"/>
          <w:i/>
          <w:sz w:val="20"/>
          <w:szCs w:val="20"/>
        </w:rPr>
      </w:pPr>
      <w:r w:rsidRPr="00951FB2">
        <w:rPr>
          <w:rFonts w:ascii="Arial" w:hAnsi="Arial"/>
          <w:i/>
          <w:sz w:val="20"/>
          <w:szCs w:val="20"/>
        </w:rPr>
        <w:tab/>
        <w:t xml:space="preserve">(b) </w:t>
      </w:r>
      <w:r w:rsidRPr="00951FB2">
        <w:rPr>
          <w:rFonts w:ascii="Arial" w:hAnsi="Arial"/>
          <w:i/>
          <w:sz w:val="20"/>
          <w:szCs w:val="20"/>
        </w:rPr>
        <w:tab/>
        <w:t>for a student, the student’s capacity to undertake clinical training—</w:t>
      </w:r>
    </w:p>
    <w:p w:rsidR="00951FB2" w:rsidRPr="00951FB2" w:rsidRDefault="00951FB2" w:rsidP="00951FB2">
      <w:pPr>
        <w:tabs>
          <w:tab w:val="left" w:pos="993"/>
        </w:tabs>
        <w:autoSpaceDE w:val="0"/>
        <w:autoSpaceDN w:val="0"/>
        <w:adjustRightInd w:val="0"/>
        <w:spacing w:after="0"/>
        <w:rPr>
          <w:rFonts w:ascii="Arial" w:hAnsi="Arial"/>
          <w:i/>
          <w:sz w:val="20"/>
          <w:szCs w:val="20"/>
        </w:rPr>
      </w:pPr>
      <w:r w:rsidRPr="00951FB2">
        <w:rPr>
          <w:rFonts w:ascii="Arial" w:hAnsi="Arial"/>
          <w:i/>
          <w:sz w:val="20"/>
          <w:szCs w:val="20"/>
        </w:rPr>
        <w:tab/>
        <w:t xml:space="preserve">(i) </w:t>
      </w:r>
      <w:r w:rsidRPr="00951FB2">
        <w:rPr>
          <w:rFonts w:ascii="Arial" w:hAnsi="Arial"/>
          <w:i/>
          <w:sz w:val="20"/>
          <w:szCs w:val="20"/>
        </w:rPr>
        <w:tab/>
        <w:t>as part of the approved program of study in which the student is enrolled; or</w:t>
      </w:r>
    </w:p>
    <w:p w:rsidR="00951FB2" w:rsidRPr="00951FB2" w:rsidRDefault="00951FB2" w:rsidP="00951FB2">
      <w:pPr>
        <w:tabs>
          <w:tab w:val="left" w:pos="993"/>
        </w:tabs>
        <w:autoSpaceDE w:val="0"/>
        <w:autoSpaceDN w:val="0"/>
        <w:adjustRightInd w:val="0"/>
        <w:spacing w:after="0"/>
        <w:rPr>
          <w:rFonts w:ascii="Arial" w:hAnsi="Arial"/>
          <w:i/>
          <w:sz w:val="20"/>
          <w:szCs w:val="20"/>
        </w:rPr>
      </w:pPr>
      <w:r w:rsidRPr="00951FB2">
        <w:rPr>
          <w:rFonts w:ascii="Arial" w:hAnsi="Arial"/>
          <w:i/>
          <w:sz w:val="20"/>
          <w:szCs w:val="20"/>
        </w:rPr>
        <w:tab/>
        <w:t xml:space="preserve">(ii) </w:t>
      </w:r>
      <w:r w:rsidRPr="00951FB2">
        <w:rPr>
          <w:rFonts w:ascii="Arial" w:hAnsi="Arial"/>
          <w:i/>
          <w:sz w:val="20"/>
          <w:szCs w:val="20"/>
        </w:rPr>
        <w:tab/>
        <w:t>arranged by an education provider.</w:t>
      </w:r>
    </w:p>
    <w:p w:rsidR="00951FB2" w:rsidRDefault="00951FB2" w:rsidP="00900921">
      <w:pPr>
        <w:pStyle w:val="NormalWeb"/>
        <w:spacing w:before="2" w:after="2"/>
        <w:rPr>
          <w:rFonts w:ascii="Arial" w:eastAsia="Times New Roman" w:hAnsi="Arial"/>
        </w:rPr>
      </w:pPr>
    </w:p>
    <w:p w:rsidR="00951FB2" w:rsidRDefault="00951FB2" w:rsidP="00900921">
      <w:pPr>
        <w:pStyle w:val="NormalWeb"/>
        <w:spacing w:before="2" w:after="2"/>
        <w:rPr>
          <w:rFonts w:ascii="Arial" w:eastAsia="Times New Roman" w:hAnsi="Arial"/>
        </w:rPr>
      </w:pPr>
      <w:r>
        <w:rPr>
          <w:rFonts w:ascii="Arial" w:eastAsia="Times New Roman" w:hAnsi="Arial"/>
        </w:rPr>
        <w:t xml:space="preserve">The definition requires that the person has a disability, condition or disorder such as infection with a blood-borne virus AND that infection affects or is likely to detrimentally affect their capacity to practise (if they are a practitioner) or their capacity to undertake clinical training (if they are a student).  </w:t>
      </w:r>
    </w:p>
    <w:p w:rsidR="00951FB2" w:rsidRDefault="00951FB2" w:rsidP="00900921">
      <w:pPr>
        <w:pStyle w:val="NormalWeb"/>
        <w:spacing w:before="2" w:after="2"/>
        <w:rPr>
          <w:rFonts w:ascii="Arial" w:eastAsia="Times New Roman" w:hAnsi="Arial"/>
        </w:rPr>
      </w:pPr>
    </w:p>
    <w:p w:rsidR="00951FB2" w:rsidRPr="00951FB2" w:rsidRDefault="00951FB2" w:rsidP="00900921">
      <w:pPr>
        <w:pStyle w:val="NormalWeb"/>
        <w:spacing w:before="2" w:after="2"/>
        <w:rPr>
          <w:rFonts w:ascii="Arial" w:eastAsia="Times New Roman" w:hAnsi="Arial"/>
        </w:rPr>
      </w:pPr>
      <w:r>
        <w:rPr>
          <w:rFonts w:ascii="Arial" w:eastAsia="Times New Roman" w:hAnsi="Arial"/>
        </w:rPr>
        <w:t xml:space="preserve">As long as a practitioner with a blood-borne virus is complying with the </w:t>
      </w:r>
      <w:r w:rsidR="0055288D">
        <w:rPr>
          <w:rFonts w:ascii="Arial" w:eastAsia="Times New Roman" w:hAnsi="Arial"/>
        </w:rPr>
        <w:t>CDNA</w:t>
      </w:r>
      <w:r>
        <w:rPr>
          <w:rFonts w:ascii="Arial" w:eastAsia="Times New Roman" w:hAnsi="Arial"/>
        </w:rPr>
        <w:t xml:space="preserve"> guidelines, the</w:t>
      </w:r>
      <w:r w:rsidR="00E646CE">
        <w:rPr>
          <w:rFonts w:ascii="Arial" w:eastAsia="Times New Roman" w:hAnsi="Arial"/>
        </w:rPr>
        <w:t>y are not putting the public at risk and the</w:t>
      </w:r>
      <w:r>
        <w:rPr>
          <w:rFonts w:ascii="Arial" w:eastAsia="Times New Roman" w:hAnsi="Arial"/>
        </w:rPr>
        <w:t>ir capacity to practise the profession is not affected</w:t>
      </w:r>
      <w:r w:rsidR="000967E5">
        <w:rPr>
          <w:rFonts w:ascii="Arial" w:eastAsia="Times New Roman" w:hAnsi="Arial"/>
        </w:rPr>
        <w:t>.  T</w:t>
      </w:r>
      <w:r>
        <w:rPr>
          <w:rFonts w:ascii="Arial" w:eastAsia="Times New Roman" w:hAnsi="Arial"/>
        </w:rPr>
        <w:t>herefore</w:t>
      </w:r>
      <w:r w:rsidR="000967E5">
        <w:rPr>
          <w:rFonts w:ascii="Arial" w:eastAsia="Times New Roman" w:hAnsi="Arial"/>
        </w:rPr>
        <w:t>, they are</w:t>
      </w:r>
      <w:r>
        <w:rPr>
          <w:rFonts w:ascii="Arial" w:eastAsia="Times New Roman" w:hAnsi="Arial"/>
        </w:rPr>
        <w:t xml:space="preserve"> </w:t>
      </w:r>
      <w:r w:rsidR="001652E7">
        <w:rPr>
          <w:rFonts w:ascii="Arial" w:eastAsia="Times New Roman" w:hAnsi="Arial"/>
        </w:rPr>
        <w:t>unlikely to be</w:t>
      </w:r>
      <w:r>
        <w:rPr>
          <w:rFonts w:ascii="Arial" w:eastAsia="Times New Roman" w:hAnsi="Arial"/>
        </w:rPr>
        <w:t xml:space="preserve"> considered to be ‘impaired’</w:t>
      </w:r>
      <w:r w:rsidR="00575B16">
        <w:rPr>
          <w:rFonts w:ascii="Arial" w:eastAsia="Times New Roman" w:hAnsi="Arial"/>
        </w:rPr>
        <w:t xml:space="preserve"> and  meet the threshold for Board action</w:t>
      </w:r>
      <w:r>
        <w:rPr>
          <w:rFonts w:ascii="Arial" w:eastAsia="Times New Roman" w:hAnsi="Arial"/>
        </w:rPr>
        <w:t xml:space="preserve">. </w:t>
      </w:r>
    </w:p>
    <w:p w:rsidR="00951FB2" w:rsidRDefault="00951FB2" w:rsidP="00900921">
      <w:pPr>
        <w:pStyle w:val="NormalWeb"/>
        <w:spacing w:before="2" w:after="2"/>
        <w:rPr>
          <w:rFonts w:ascii="Arial" w:hAnsi="Arial"/>
        </w:rPr>
      </w:pPr>
    </w:p>
    <w:p w:rsidR="00575B16" w:rsidRDefault="00575B16" w:rsidP="00575B16">
      <w:pPr>
        <w:pStyle w:val="NormalWeb"/>
        <w:spacing w:before="2" w:after="2"/>
        <w:rPr>
          <w:rFonts w:ascii="Arial" w:hAnsi="Arial"/>
        </w:rPr>
      </w:pPr>
      <w:r>
        <w:rPr>
          <w:rFonts w:ascii="Arial" w:hAnsi="Arial"/>
        </w:rPr>
        <w:t>The Boards recognise that registered health practitioners and students with a blood-borne virus have the same right to privacy as other individuals with an infectious disease or other illness.  Registered health practitioners and students who comply with these guidelines are unlikely to need to be notified to the Board.  Even if a notification is made, the Boards are unlikely to take any regulatory action</w:t>
      </w:r>
      <w:r w:rsidR="009D6DBA">
        <w:rPr>
          <w:rFonts w:ascii="Arial" w:hAnsi="Arial"/>
        </w:rPr>
        <w:t xml:space="preserve"> if they are </w:t>
      </w:r>
      <w:r>
        <w:rPr>
          <w:rFonts w:ascii="Arial" w:hAnsi="Arial"/>
        </w:rPr>
        <w:t xml:space="preserve">assured that the registered health practitioner or student has complied </w:t>
      </w:r>
      <w:r w:rsidR="003A27A6">
        <w:rPr>
          <w:rFonts w:ascii="Arial" w:hAnsi="Arial"/>
        </w:rPr>
        <w:t xml:space="preserve">and will continue to comply </w:t>
      </w:r>
      <w:r>
        <w:rPr>
          <w:rFonts w:ascii="Arial" w:hAnsi="Arial"/>
        </w:rPr>
        <w:t xml:space="preserve">with the </w:t>
      </w:r>
      <w:r w:rsidR="0055288D">
        <w:rPr>
          <w:rFonts w:ascii="Arial" w:hAnsi="Arial"/>
        </w:rPr>
        <w:t>CDNA</w:t>
      </w:r>
      <w:r w:rsidR="000967E5">
        <w:rPr>
          <w:rFonts w:ascii="Arial" w:hAnsi="Arial"/>
        </w:rPr>
        <w:t xml:space="preserve"> </w:t>
      </w:r>
      <w:r>
        <w:rPr>
          <w:rFonts w:ascii="Arial" w:hAnsi="Arial"/>
        </w:rPr>
        <w:t xml:space="preserve">guidelines and is therefore not placing the public at risk.  </w:t>
      </w:r>
    </w:p>
    <w:p w:rsidR="00575B16" w:rsidRDefault="00575B16" w:rsidP="00900921">
      <w:pPr>
        <w:pStyle w:val="NormalWeb"/>
        <w:spacing w:before="2" w:after="2"/>
        <w:rPr>
          <w:rFonts w:ascii="Arial" w:hAnsi="Arial"/>
        </w:rPr>
      </w:pPr>
    </w:p>
    <w:p w:rsidR="0030647E" w:rsidRDefault="00187889">
      <w:pPr>
        <w:pStyle w:val="AHPRASubheading"/>
      </w:pPr>
      <w:r>
        <w:t>What is not covered in these guidelines?</w:t>
      </w:r>
    </w:p>
    <w:p w:rsidR="00900921" w:rsidRDefault="00900921" w:rsidP="00900921">
      <w:pPr>
        <w:pStyle w:val="NormalWeb"/>
        <w:spacing w:before="2" w:after="2"/>
        <w:rPr>
          <w:rFonts w:ascii="Arial" w:hAnsi="Arial"/>
        </w:rPr>
      </w:pPr>
      <w:r>
        <w:rPr>
          <w:rFonts w:ascii="Arial" w:hAnsi="Arial"/>
        </w:rPr>
        <w:t xml:space="preserve">These guidelines are about registered health practitioners and students </w:t>
      </w:r>
      <w:r w:rsidR="009824C4">
        <w:rPr>
          <w:rFonts w:ascii="Arial" w:hAnsi="Arial"/>
        </w:rPr>
        <w:t xml:space="preserve">infected </w:t>
      </w:r>
      <w:r>
        <w:rPr>
          <w:rFonts w:ascii="Arial" w:hAnsi="Arial"/>
        </w:rPr>
        <w:t xml:space="preserve">with blood-borne viruses.  They do not include guidance for registered health practitioners and students with other </w:t>
      </w:r>
      <w:r w:rsidR="009824C4">
        <w:rPr>
          <w:rFonts w:ascii="Arial" w:hAnsi="Arial"/>
        </w:rPr>
        <w:t>infectious</w:t>
      </w:r>
      <w:r>
        <w:rPr>
          <w:rFonts w:ascii="Arial" w:hAnsi="Arial"/>
        </w:rPr>
        <w:t xml:space="preserve"> diseases.  Registered health practitioners and students will know that infections can be transmitted in other ways and they should refer to, and comply with</w:t>
      </w:r>
      <w:r w:rsidR="009824C4">
        <w:rPr>
          <w:rFonts w:ascii="Arial" w:hAnsi="Arial"/>
        </w:rPr>
        <w:t xml:space="preserve"> relevant current </w:t>
      </w:r>
      <w:r w:rsidR="00A01D7C">
        <w:rPr>
          <w:rFonts w:ascii="Arial" w:hAnsi="Arial"/>
        </w:rPr>
        <w:t xml:space="preserve">infection control </w:t>
      </w:r>
      <w:r w:rsidR="009824C4">
        <w:rPr>
          <w:rFonts w:ascii="Arial" w:hAnsi="Arial"/>
        </w:rPr>
        <w:t>guidelines produced by</w:t>
      </w:r>
      <w:r>
        <w:rPr>
          <w:rFonts w:ascii="Arial" w:hAnsi="Arial"/>
        </w:rPr>
        <w:t xml:space="preserve"> the National Health and Medical Research Council</w:t>
      </w:r>
      <w:r w:rsidR="009824C4">
        <w:rPr>
          <w:rFonts w:ascii="Arial" w:hAnsi="Arial"/>
        </w:rPr>
        <w:t>.</w:t>
      </w:r>
      <w:r w:rsidR="009824C4">
        <w:rPr>
          <w:rStyle w:val="FootnoteReference"/>
          <w:rFonts w:ascii="Arial" w:hAnsi="Arial"/>
        </w:rPr>
        <w:footnoteReference w:id="7"/>
      </w:r>
    </w:p>
    <w:p w:rsidR="00900921" w:rsidRDefault="00900921" w:rsidP="00900921">
      <w:pPr>
        <w:pStyle w:val="NormalWeb"/>
        <w:spacing w:before="2" w:after="2"/>
        <w:rPr>
          <w:rFonts w:ascii="Arial" w:hAnsi="Arial"/>
        </w:rPr>
      </w:pPr>
    </w:p>
    <w:p w:rsidR="00900921" w:rsidRDefault="00900921" w:rsidP="00900921">
      <w:pPr>
        <w:pStyle w:val="AHPRASubheading"/>
      </w:pPr>
      <w:r>
        <w:t>Guidance for</w:t>
      </w:r>
      <w:r w:rsidR="00D7595C">
        <w:t xml:space="preserve"> all</w:t>
      </w:r>
      <w:r>
        <w:t xml:space="preserve"> registered health practitioner</w:t>
      </w:r>
      <w:r w:rsidRPr="008517A1">
        <w:t>s</w:t>
      </w:r>
      <w:r>
        <w:t xml:space="preserve"> and students</w:t>
      </w:r>
    </w:p>
    <w:p w:rsidR="00EF3E71" w:rsidRDefault="00EF3E71" w:rsidP="00EF3E71">
      <w:pPr>
        <w:pStyle w:val="AHPRAlastbulletpoint"/>
        <w:ind w:left="357" w:hanging="357"/>
      </w:pPr>
      <w:r>
        <w:t>Registered health practitioners and students have a responsibility to prevent the transmission of blood-borne viruses from themselves to their patients.</w:t>
      </w:r>
    </w:p>
    <w:p w:rsidR="00EF3E71" w:rsidRDefault="00EF3E71" w:rsidP="00EF3E71">
      <w:pPr>
        <w:pStyle w:val="AHPRAlastbulletpoint"/>
        <w:ind w:left="357" w:hanging="357"/>
      </w:pPr>
      <w:r>
        <w:t>Registered health practitioners and students have a responsibility to protect themselves from transmission of blood-borne viruses.</w:t>
      </w:r>
    </w:p>
    <w:p w:rsidR="00575B16" w:rsidRDefault="00900921" w:rsidP="00900921">
      <w:pPr>
        <w:pStyle w:val="AHPRAlastbulletpoint"/>
        <w:ind w:left="357" w:hanging="357"/>
      </w:pPr>
      <w:r>
        <w:t xml:space="preserve">All registered health practitioners and students </w:t>
      </w:r>
      <w:r w:rsidR="00D7595C">
        <w:t>must</w:t>
      </w:r>
      <w:r>
        <w:t xml:space="preserve"> </w:t>
      </w:r>
      <w:r w:rsidR="00575B16">
        <w:t xml:space="preserve">comply with the </w:t>
      </w:r>
      <w:r w:rsidR="0055288D">
        <w:t>CDNA</w:t>
      </w:r>
      <w:r w:rsidR="00575B16">
        <w:t xml:space="preserve"> guidelines for health practitioners infected with blood-borne viruses. </w:t>
      </w:r>
      <w:r w:rsidR="00D7595C">
        <w:t xml:space="preserve"> The </w:t>
      </w:r>
      <w:r w:rsidR="0055288D">
        <w:t xml:space="preserve">current guidelines are </w:t>
      </w:r>
      <w:r w:rsidR="00D7595C" w:rsidRPr="0055288D">
        <w:t xml:space="preserve">at </w:t>
      </w:r>
      <w:r w:rsidR="00795504" w:rsidRPr="0055288D">
        <w:t xml:space="preserve"> </w:t>
      </w:r>
      <w:hyperlink r:id="rId16" w:history="1">
        <w:r w:rsidR="00795504" w:rsidRPr="008340E9">
          <w:rPr>
            <w:rStyle w:val="Hyperlink"/>
          </w:rPr>
          <w:t>http://www.health.gov.au/internet/main/publishing.nsf/Content/cda-cdna-bloodborne.htm</w:t>
        </w:r>
      </w:hyperlink>
      <w:r w:rsidR="00795504">
        <w:t xml:space="preserve">&gt; </w:t>
      </w:r>
      <w:r w:rsidR="00575B16">
        <w:t xml:space="preserve"> </w:t>
      </w:r>
    </w:p>
    <w:p w:rsidR="00900921" w:rsidRDefault="00575B16" w:rsidP="00900921">
      <w:pPr>
        <w:pStyle w:val="AHPRAlastbulletpoint"/>
        <w:ind w:left="357" w:hanging="357"/>
      </w:pPr>
      <w:r>
        <w:t xml:space="preserve">All registered health practitioners and students should </w:t>
      </w:r>
      <w:r w:rsidR="00900921">
        <w:t>know their blood-borne virus status.  If they have a blood-borne virus, they must seek and accept expert advice on the safe limits of their practice</w:t>
      </w:r>
      <w:r w:rsidR="008947AA">
        <w:t xml:space="preserve"> and</w:t>
      </w:r>
      <w:r w:rsidR="00537CAE">
        <w:t xml:space="preserve"> </w:t>
      </w:r>
      <w:r w:rsidR="00187889">
        <w:t xml:space="preserve">must </w:t>
      </w:r>
      <w:r w:rsidR="00537CAE">
        <w:t>comply</w:t>
      </w:r>
      <w:r w:rsidR="00900921">
        <w:t xml:space="preserve"> with the</w:t>
      </w:r>
      <w:r>
        <w:t xml:space="preserve"> </w:t>
      </w:r>
      <w:r w:rsidR="0055288D">
        <w:t>CDNA</w:t>
      </w:r>
      <w:r>
        <w:t xml:space="preserve"> guidelines</w:t>
      </w:r>
      <w:r w:rsidR="00187889">
        <w:t>.</w:t>
      </w:r>
      <w:r>
        <w:t xml:space="preserve"> </w:t>
      </w:r>
    </w:p>
    <w:p w:rsidR="00900921" w:rsidRDefault="00900921" w:rsidP="00900921">
      <w:pPr>
        <w:pStyle w:val="AHPRAlastbulletpoint"/>
        <w:ind w:left="357" w:hanging="357"/>
      </w:pPr>
      <w:r>
        <w:t xml:space="preserve">All registered health practitioners and students </w:t>
      </w:r>
      <w:r w:rsidR="00CB4013">
        <w:t xml:space="preserve">who may perform exposure prone procedures </w:t>
      </w:r>
      <w:r>
        <w:t xml:space="preserve">should be vaccinated against </w:t>
      </w:r>
      <w:r w:rsidR="00443A8B">
        <w:t>any</w:t>
      </w:r>
      <w:r w:rsidR="00575B16">
        <w:t xml:space="preserve"> blood-borne virus for which there is a commercially available vaccine.  Vaccination should be done</w:t>
      </w:r>
      <w:r>
        <w:t xml:space="preserve"> at the start of employment or studies if the</w:t>
      </w:r>
      <w:r w:rsidR="00443A8B">
        <w:t xml:space="preserve"> practitioner or student does not have</w:t>
      </w:r>
      <w:r>
        <w:t xml:space="preserve"> documented evidence of pre-existing immunity.</w:t>
      </w:r>
    </w:p>
    <w:p w:rsidR="00900921" w:rsidRDefault="00900921" w:rsidP="00900921">
      <w:pPr>
        <w:pStyle w:val="AHPRAlastbulletpoint"/>
        <w:ind w:left="357" w:hanging="357"/>
      </w:pPr>
      <w:r>
        <w:t xml:space="preserve">All registered health practitioners and students should be tested for blood-borne viruses following </w:t>
      </w:r>
      <w:r w:rsidR="0030647E">
        <w:t>every</w:t>
      </w:r>
      <w:r>
        <w:t xml:space="preserve"> sharps injury and/or exposure to body fluids, secretions and excretions, and </w:t>
      </w:r>
      <w:r w:rsidR="008F1397">
        <w:t xml:space="preserve">must </w:t>
      </w:r>
      <w:r w:rsidR="00537CAE">
        <w:t>follow current pos</w:t>
      </w:r>
      <w:r w:rsidR="00230BD8">
        <w:t xml:space="preserve">t </w:t>
      </w:r>
      <w:r w:rsidR="00537CAE">
        <w:t>exposure protocols</w:t>
      </w:r>
      <w:r w:rsidR="008F1397">
        <w:t xml:space="preserve"> for the management</w:t>
      </w:r>
      <w:r w:rsidR="001652E7">
        <w:t xml:space="preserve"> of</w:t>
      </w:r>
      <w:r w:rsidR="008F1397">
        <w:t xml:space="preserve"> sharps injuries and/or exposure to body fluids, secretions and excretions</w:t>
      </w:r>
      <w:r w:rsidR="00537CAE">
        <w:t>.</w:t>
      </w:r>
    </w:p>
    <w:p w:rsidR="005E14E0" w:rsidRDefault="00575B16" w:rsidP="005E14E0">
      <w:pPr>
        <w:pStyle w:val="AHPRAlastbulletpoint"/>
        <w:ind w:left="357" w:hanging="357"/>
      </w:pPr>
      <w:r>
        <w:t xml:space="preserve">Health practitioner students </w:t>
      </w:r>
      <w:r w:rsidR="005E14E0">
        <w:t xml:space="preserve">and trainees </w:t>
      </w:r>
      <w:r>
        <w:t xml:space="preserve">who are likely to be required to perform exposure prone procedures </w:t>
      </w:r>
      <w:r w:rsidR="005E14E0">
        <w:t>as part of the</w:t>
      </w:r>
      <w:r>
        <w:t>ir studies</w:t>
      </w:r>
      <w:r w:rsidR="008F1397">
        <w:rPr>
          <w:rStyle w:val="FootnoteReference"/>
        </w:rPr>
        <w:footnoteReference w:id="8"/>
      </w:r>
      <w:r>
        <w:t xml:space="preserve"> </w:t>
      </w:r>
      <w:r w:rsidR="005E14E0">
        <w:t>or training</w:t>
      </w:r>
      <w:r w:rsidR="008F1397">
        <w:rPr>
          <w:rStyle w:val="FootnoteReference"/>
        </w:rPr>
        <w:footnoteReference w:id="9"/>
      </w:r>
      <w:r w:rsidR="005E14E0">
        <w:t xml:space="preserve"> </w:t>
      </w:r>
      <w:r>
        <w:t xml:space="preserve">must </w:t>
      </w:r>
      <w:r w:rsidR="00900921" w:rsidRPr="006905EA">
        <w:t xml:space="preserve">undergo testing for blood-borne viruses before, or on entry to the </w:t>
      </w:r>
      <w:r w:rsidR="005E14E0">
        <w:t>p</w:t>
      </w:r>
      <w:r w:rsidR="00900921" w:rsidRPr="006905EA">
        <w:t>rogram</w:t>
      </w:r>
      <w:r>
        <w:t xml:space="preserve"> of study</w:t>
      </w:r>
      <w:r w:rsidR="005E14E0">
        <w:t xml:space="preserve"> or training.</w:t>
      </w:r>
      <w:r w:rsidR="00900921" w:rsidRPr="006905EA">
        <w:t xml:space="preserve">  If </w:t>
      </w:r>
      <w:r>
        <w:t>the</w:t>
      </w:r>
      <w:r w:rsidR="00900921" w:rsidRPr="006905EA">
        <w:t xml:space="preserve"> </w:t>
      </w:r>
      <w:r w:rsidR="005E14E0">
        <w:t>student or trainee</w:t>
      </w:r>
      <w:r w:rsidR="00900921" w:rsidRPr="006905EA">
        <w:t xml:space="preserve"> is found to be infected with one or more blood-borne viruses, </w:t>
      </w:r>
      <w:r w:rsidR="005E14E0">
        <w:t xml:space="preserve">they should be assessed by a suitably qualified medical practitioner and if they are potentially infectious, should seek </w:t>
      </w:r>
      <w:r w:rsidR="001C254C">
        <w:t>counseling</w:t>
      </w:r>
      <w:r w:rsidR="005E14E0">
        <w:t xml:space="preserve"> on career options.</w:t>
      </w:r>
    </w:p>
    <w:p w:rsidR="00DA460D" w:rsidRPr="00DA460D" w:rsidRDefault="00DA460D" w:rsidP="00DA460D">
      <w:pPr>
        <w:pStyle w:val="AHPRAlastbulletpoint"/>
        <w:ind w:left="357" w:hanging="357"/>
      </w:pPr>
      <w:r>
        <w:t xml:space="preserve">Students enrolled in dental programs </w:t>
      </w:r>
      <w:r w:rsidRPr="00DA460D">
        <w:t>are required to perform exposure prone procedures during their course of study.  Dental students with a blood-borne virus would not be able to undertake these procedures and therefore could not meet the minimum requirements of an approved program of study that leads to registration.</w:t>
      </w:r>
      <w:r>
        <w:t xml:space="preserve"> They are therefore not able to continue with the program of study.</w:t>
      </w:r>
    </w:p>
    <w:p w:rsidR="00900921" w:rsidRDefault="00900921" w:rsidP="00900921">
      <w:pPr>
        <w:pStyle w:val="AHPRAlastbulletpoint"/>
        <w:ind w:left="426" w:hanging="426"/>
      </w:pPr>
      <w:r>
        <w:t>Registered health practitioners and students who perform exposure-prone procedures</w:t>
      </w:r>
      <w:r w:rsidR="0023538B">
        <w:rPr>
          <w:rStyle w:val="FootnoteReference"/>
        </w:rPr>
        <w:footnoteReference w:id="10"/>
      </w:r>
      <w:r>
        <w:t xml:space="preserve"> must be te</w:t>
      </w:r>
      <w:r w:rsidR="00A16F2B">
        <w:t xml:space="preserve">sted for blood-borne viruses as </w:t>
      </w:r>
      <w:r w:rsidR="0023538B">
        <w:t>de</w:t>
      </w:r>
      <w:r w:rsidR="00187889">
        <w:t>scribed</w:t>
      </w:r>
      <w:r w:rsidR="00A16F2B">
        <w:t xml:space="preserve"> in the </w:t>
      </w:r>
      <w:r w:rsidR="0055288D">
        <w:t>CDNA</w:t>
      </w:r>
      <w:r w:rsidR="00A16F2B">
        <w:t xml:space="preserve"> guidelines.</w:t>
      </w:r>
    </w:p>
    <w:p w:rsidR="00900921" w:rsidRPr="00AB4CE2" w:rsidRDefault="00900921" w:rsidP="00900921">
      <w:pPr>
        <w:pStyle w:val="AHPRASubhead"/>
      </w:pPr>
      <w:r>
        <w:t>R</w:t>
      </w:r>
      <w:r w:rsidRPr="00AB4CE2">
        <w:t xml:space="preserve">egistered health practitioners </w:t>
      </w:r>
      <w:r>
        <w:t xml:space="preserve">and students </w:t>
      </w:r>
      <w:r w:rsidRPr="00AB4CE2">
        <w:t xml:space="preserve">with </w:t>
      </w:r>
      <w:r>
        <w:t>blood-borne viruses</w:t>
      </w:r>
    </w:p>
    <w:p w:rsidR="005E14E0" w:rsidRPr="00816C55" w:rsidRDefault="005E14E0" w:rsidP="005E14E0">
      <w:pPr>
        <w:pStyle w:val="AHPRAlastbulletpoint"/>
        <w:ind w:left="357" w:hanging="357"/>
        <w:rPr>
          <w:szCs w:val="20"/>
        </w:rPr>
      </w:pPr>
      <w:r w:rsidRPr="00816C55">
        <w:rPr>
          <w:szCs w:val="20"/>
        </w:rPr>
        <w:t xml:space="preserve">Registered health practitioners who are </w:t>
      </w:r>
      <w:r>
        <w:rPr>
          <w:szCs w:val="20"/>
        </w:rPr>
        <w:t xml:space="preserve">infected with a blood-borne virus can continue to practise their profession if they comply with the </w:t>
      </w:r>
      <w:r w:rsidR="00166CC1">
        <w:rPr>
          <w:szCs w:val="20"/>
        </w:rPr>
        <w:t>CDNA</w:t>
      </w:r>
      <w:r>
        <w:rPr>
          <w:szCs w:val="20"/>
        </w:rPr>
        <w:t xml:space="preserve"> guidelines.</w:t>
      </w:r>
      <w:r w:rsidRPr="00816C55">
        <w:rPr>
          <w:szCs w:val="20"/>
        </w:rPr>
        <w:t xml:space="preserve"> </w:t>
      </w:r>
      <w:r w:rsidR="00595039">
        <w:rPr>
          <w:szCs w:val="20"/>
        </w:rPr>
        <w:t xml:space="preserve"> However, the guidelines may require that the infected practitioner reviews and changes their scope of their practice, for example, to not perform exposure-prone procedures.</w:t>
      </w:r>
    </w:p>
    <w:p w:rsidR="005E14E0" w:rsidRPr="00816C55" w:rsidRDefault="005E14E0" w:rsidP="005E14E0">
      <w:pPr>
        <w:pStyle w:val="AHPRAlastbulletpoint"/>
        <w:ind w:left="357" w:hanging="357"/>
        <w:rPr>
          <w:szCs w:val="20"/>
        </w:rPr>
      </w:pPr>
      <w:r w:rsidRPr="00816C55">
        <w:rPr>
          <w:szCs w:val="20"/>
        </w:rPr>
        <w:t>All registered health practitioners and students who are infected with a blood-borne virus should be under the regular care of a suitably qualified specialist medical practitioner</w:t>
      </w:r>
      <w:r>
        <w:rPr>
          <w:szCs w:val="20"/>
        </w:rPr>
        <w:t>, such as a specialist infectious diseases physician, specialist gastr</w:t>
      </w:r>
      <w:r w:rsidR="00595039">
        <w:rPr>
          <w:szCs w:val="20"/>
        </w:rPr>
        <w:t>o</w:t>
      </w:r>
      <w:r>
        <w:rPr>
          <w:szCs w:val="20"/>
        </w:rPr>
        <w:t>enterologist and hepatologist</w:t>
      </w:r>
      <w:r w:rsidR="00595039">
        <w:rPr>
          <w:szCs w:val="20"/>
        </w:rPr>
        <w:t xml:space="preserve"> or similar</w:t>
      </w:r>
      <w:r w:rsidRPr="00816C55">
        <w:rPr>
          <w:szCs w:val="20"/>
        </w:rPr>
        <w:t xml:space="preserve">. </w:t>
      </w:r>
      <w:r w:rsidR="00595039">
        <w:rPr>
          <w:szCs w:val="20"/>
        </w:rPr>
        <w:t xml:space="preserve"> They must seek and accept their specialist’s advice on the safe limits of practice.  If the infected practitioner does not comply with the treating doctor’s advice, the treating doctor may have a mandatory obligation to report the infected practitioner to the Board.</w:t>
      </w:r>
    </w:p>
    <w:p w:rsidR="004252BF" w:rsidRDefault="004252BF" w:rsidP="00900921">
      <w:pPr>
        <w:pStyle w:val="AHPRASubhead"/>
      </w:pPr>
    </w:p>
    <w:p w:rsidR="00900921" w:rsidRPr="00DB3FB2" w:rsidRDefault="00900921" w:rsidP="00900921">
      <w:pPr>
        <w:pStyle w:val="AHPRASubhead"/>
      </w:pPr>
      <w:r w:rsidRPr="00DB3FB2">
        <w:t>The Board’s response to a registered health practitioner</w:t>
      </w:r>
      <w:r>
        <w:t xml:space="preserve"> or student</w:t>
      </w:r>
      <w:r w:rsidRPr="00DB3FB2">
        <w:t xml:space="preserve"> with a </w:t>
      </w:r>
      <w:r>
        <w:t>blood-borne virus</w:t>
      </w:r>
      <w:r w:rsidRPr="00DB3FB2">
        <w:t xml:space="preserve"> </w:t>
      </w:r>
    </w:p>
    <w:p w:rsidR="00900921" w:rsidRPr="004A16E2" w:rsidRDefault="00900921" w:rsidP="004A16E2">
      <w:pPr>
        <w:pStyle w:val="AHPRAlastbulletpoint"/>
        <w:ind w:left="357" w:hanging="357"/>
        <w:rPr>
          <w:szCs w:val="20"/>
        </w:rPr>
      </w:pPr>
      <w:r w:rsidRPr="00816C55">
        <w:rPr>
          <w:szCs w:val="20"/>
        </w:rPr>
        <w:t>There is no requirement for registered health practitioners or students with blood-borne viruses to notify the Board that they are infected with a blood-borne virus</w:t>
      </w:r>
      <w:r w:rsidR="004A16E2">
        <w:rPr>
          <w:szCs w:val="20"/>
        </w:rPr>
        <w:t xml:space="preserve"> if they are following their treating practitioner’s advice </w:t>
      </w:r>
      <w:r w:rsidR="00EF3E71">
        <w:rPr>
          <w:szCs w:val="20"/>
        </w:rPr>
        <w:t xml:space="preserve">have complied with </w:t>
      </w:r>
      <w:r w:rsidR="004A16E2">
        <w:rPr>
          <w:szCs w:val="20"/>
        </w:rPr>
        <w:t>and</w:t>
      </w:r>
      <w:r w:rsidR="00EF3E71">
        <w:rPr>
          <w:szCs w:val="20"/>
        </w:rPr>
        <w:t xml:space="preserve"> are continuing to comply with</w:t>
      </w:r>
      <w:r w:rsidR="004A16E2">
        <w:rPr>
          <w:szCs w:val="20"/>
        </w:rPr>
        <w:t xml:space="preserve"> the</w:t>
      </w:r>
      <w:r w:rsidR="00A16F2B" w:rsidRPr="004A16E2">
        <w:rPr>
          <w:szCs w:val="20"/>
        </w:rPr>
        <w:t xml:space="preserve"> </w:t>
      </w:r>
      <w:r w:rsidR="00166CC1">
        <w:rPr>
          <w:szCs w:val="20"/>
        </w:rPr>
        <w:t>CDNA</w:t>
      </w:r>
      <w:r w:rsidRPr="004A16E2">
        <w:rPr>
          <w:szCs w:val="20"/>
        </w:rPr>
        <w:t xml:space="preserve"> guidelines. </w:t>
      </w:r>
    </w:p>
    <w:p w:rsidR="008F1397" w:rsidRPr="00816C55" w:rsidRDefault="008F1397" w:rsidP="008F1397">
      <w:pPr>
        <w:pStyle w:val="AHPRAlastbulletpoint"/>
        <w:ind w:left="357" w:hanging="357"/>
        <w:rPr>
          <w:szCs w:val="20"/>
        </w:rPr>
      </w:pPr>
      <w:r w:rsidRPr="00816C55">
        <w:rPr>
          <w:szCs w:val="20"/>
        </w:rPr>
        <w:t xml:space="preserve">Unless there is another </w:t>
      </w:r>
      <w:r w:rsidR="00051EB9">
        <w:rPr>
          <w:szCs w:val="20"/>
        </w:rPr>
        <w:t>condition</w:t>
      </w:r>
      <w:r w:rsidRPr="00816C55">
        <w:rPr>
          <w:szCs w:val="20"/>
        </w:rPr>
        <w:t xml:space="preserve"> (e.g. cognitive impairment associated with HIV), a registered health practitioner or student with a blood-borne virus who is </w:t>
      </w:r>
      <w:r>
        <w:rPr>
          <w:szCs w:val="20"/>
        </w:rPr>
        <w:t xml:space="preserve">practising within the limits defined by the </w:t>
      </w:r>
      <w:r w:rsidR="00166CC1">
        <w:rPr>
          <w:szCs w:val="20"/>
        </w:rPr>
        <w:t>CDNA</w:t>
      </w:r>
      <w:r w:rsidRPr="00816C55">
        <w:rPr>
          <w:szCs w:val="20"/>
        </w:rPr>
        <w:t xml:space="preserve"> guidelines and is following accepted infection control measures</w:t>
      </w:r>
      <w:r w:rsidR="000418A0">
        <w:rPr>
          <w:szCs w:val="20"/>
        </w:rPr>
        <w:t>,</w:t>
      </w:r>
      <w:r w:rsidRPr="00816C55">
        <w:rPr>
          <w:szCs w:val="20"/>
        </w:rPr>
        <w:t xml:space="preserve"> is not placing the public at risk and therefore does not need to be notified to the Board.</w:t>
      </w:r>
    </w:p>
    <w:p w:rsidR="008F1397" w:rsidRPr="00816C55" w:rsidRDefault="008F1397" w:rsidP="008F1397">
      <w:pPr>
        <w:pStyle w:val="AHPRAlastbulletpoint"/>
        <w:ind w:left="357" w:hanging="357"/>
        <w:rPr>
          <w:szCs w:val="20"/>
        </w:rPr>
      </w:pPr>
      <w:r w:rsidRPr="00816C55">
        <w:rPr>
          <w:szCs w:val="20"/>
        </w:rPr>
        <w:t>If the Board receives a notification about a registered health practitioner or student with a blood-borne virus, it may seek additional information to assess the risk to the public that the practice of the practitioner or student poses.  This additional information might include:</w:t>
      </w:r>
    </w:p>
    <w:p w:rsidR="0030647E" w:rsidRDefault="008F1397">
      <w:pPr>
        <w:pStyle w:val="NormalWeb"/>
        <w:numPr>
          <w:ilvl w:val="1"/>
          <w:numId w:val="5"/>
        </w:numPr>
        <w:tabs>
          <w:tab w:val="left" w:pos="709"/>
        </w:tabs>
        <w:spacing w:before="2" w:after="2"/>
        <w:ind w:left="709" w:hanging="283"/>
        <w:rPr>
          <w:rFonts w:ascii="Arial" w:hAnsi="Arial"/>
        </w:rPr>
      </w:pPr>
      <w:r>
        <w:rPr>
          <w:rFonts w:ascii="Arial" w:hAnsi="Arial"/>
        </w:rPr>
        <w:t>asking the practitioner or student whether they are willing to obtain a report from their treating medical practitioner.  The Board would seek advice on whether the registered health practitioner or student poses a risk to the public, given their status and their scope of practice and/or</w:t>
      </w:r>
    </w:p>
    <w:p w:rsidR="0030647E" w:rsidRDefault="008F1397">
      <w:pPr>
        <w:pStyle w:val="NormalWeb"/>
        <w:numPr>
          <w:ilvl w:val="1"/>
          <w:numId w:val="5"/>
        </w:numPr>
        <w:tabs>
          <w:tab w:val="left" w:pos="709"/>
        </w:tabs>
        <w:spacing w:before="2" w:after="2"/>
        <w:ind w:left="709" w:hanging="283"/>
        <w:rPr>
          <w:rFonts w:ascii="Arial" w:hAnsi="Arial"/>
        </w:rPr>
      </w:pPr>
      <w:r>
        <w:rPr>
          <w:rFonts w:ascii="Arial" w:hAnsi="Arial"/>
        </w:rPr>
        <w:t>asking the practitioner or student to undergo a health assessment with a suitably qualified independent specialist/s who will report to the Board.  The registered health practitioner or student would be given a copy of the report in accordance with the relevant provisions of the National Law</w:t>
      </w:r>
      <w:r w:rsidRPr="00D05ECB">
        <w:rPr>
          <w:rFonts w:ascii="Arial" w:hAnsi="Arial" w:cs="Arial"/>
          <w:b/>
          <w:vertAlign w:val="superscript"/>
        </w:rPr>
        <w:footnoteReference w:id="11"/>
      </w:r>
      <w:r w:rsidRPr="00D05ECB">
        <w:rPr>
          <w:rFonts w:ascii="Arial" w:hAnsi="Arial"/>
          <w:b/>
        </w:rPr>
        <w:t>.</w:t>
      </w:r>
    </w:p>
    <w:p w:rsidR="008F1397" w:rsidRDefault="008F1397" w:rsidP="008F1397">
      <w:pPr>
        <w:pStyle w:val="NormalWeb"/>
        <w:spacing w:before="2" w:after="2"/>
        <w:ind w:left="360"/>
        <w:rPr>
          <w:rFonts w:ascii="Arial" w:hAnsi="Arial"/>
        </w:rPr>
      </w:pPr>
    </w:p>
    <w:p w:rsidR="008F1397" w:rsidRPr="00816C55" w:rsidRDefault="008F1397" w:rsidP="008F1397">
      <w:pPr>
        <w:pStyle w:val="AHPRAlastbulletpoint"/>
        <w:ind w:left="357" w:hanging="357"/>
        <w:rPr>
          <w:szCs w:val="20"/>
        </w:rPr>
      </w:pPr>
      <w:r>
        <w:t xml:space="preserve">After an initial risk assessment that might include seeking independent reports, the Board will not </w:t>
      </w:r>
      <w:r w:rsidRPr="00816C55">
        <w:rPr>
          <w:szCs w:val="20"/>
        </w:rPr>
        <w:t>usually seek undertakings or impose conditions if a registered health practitioner or student is complying with the</w:t>
      </w:r>
      <w:r>
        <w:rPr>
          <w:szCs w:val="20"/>
        </w:rPr>
        <w:t xml:space="preserve"> </w:t>
      </w:r>
      <w:r w:rsidR="00166CC1">
        <w:rPr>
          <w:szCs w:val="20"/>
        </w:rPr>
        <w:t>CDNA</w:t>
      </w:r>
      <w:r w:rsidRPr="00816C55">
        <w:rPr>
          <w:szCs w:val="20"/>
        </w:rPr>
        <w:t xml:space="preserve"> guidelines and is therefore not placing the public at risk.  In these circumstances, the Board will not routinely publish any information related to the practitioner or student’s health on the register of practitioners.</w:t>
      </w:r>
    </w:p>
    <w:p w:rsidR="008F1397" w:rsidRPr="00816C55" w:rsidRDefault="008F1397" w:rsidP="008F1397">
      <w:pPr>
        <w:pStyle w:val="AHPRAlastbulletpoint"/>
        <w:ind w:left="357" w:hanging="357"/>
        <w:rPr>
          <w:szCs w:val="20"/>
        </w:rPr>
      </w:pPr>
      <w:r w:rsidRPr="00816C55">
        <w:rPr>
          <w:szCs w:val="20"/>
        </w:rPr>
        <w:t>If a practitioner or student does not comply with the</w:t>
      </w:r>
      <w:r>
        <w:rPr>
          <w:szCs w:val="20"/>
        </w:rPr>
        <w:t xml:space="preserve"> </w:t>
      </w:r>
      <w:r w:rsidR="00166CC1">
        <w:rPr>
          <w:szCs w:val="20"/>
        </w:rPr>
        <w:t>CDNA</w:t>
      </w:r>
      <w:r w:rsidRPr="00816C55">
        <w:rPr>
          <w:szCs w:val="20"/>
        </w:rPr>
        <w:t xml:space="preserve"> guidelines, the Board will take the necessary action under the National Law to protect the health and saf</w:t>
      </w:r>
      <w:r>
        <w:rPr>
          <w:szCs w:val="20"/>
        </w:rPr>
        <w:t>ety</w:t>
      </w:r>
      <w:r w:rsidRPr="00816C55">
        <w:rPr>
          <w:szCs w:val="20"/>
        </w:rPr>
        <w:t xml:space="preserve"> of the public.  This could include taking immediate action (suspension, imposition of conditions or accepting undertakings), investigating further, referring to a panel hearing or referring to a tribunal.  </w:t>
      </w:r>
    </w:p>
    <w:p w:rsidR="008F1397" w:rsidRPr="00816C55" w:rsidRDefault="008F1397" w:rsidP="008F1397">
      <w:pPr>
        <w:pStyle w:val="AHPRAlastbulletpoint"/>
        <w:ind w:left="357" w:hanging="357"/>
        <w:rPr>
          <w:szCs w:val="20"/>
        </w:rPr>
      </w:pPr>
      <w:r w:rsidRPr="00816C55">
        <w:rPr>
          <w:szCs w:val="20"/>
        </w:rPr>
        <w:t xml:space="preserve">If the Board suspends a practitioner’s registration, imposes conditions or accepts undertakings, it will publish relevant information on the register of practitioners, as required by the National Law.  The Board will not publish information on the register of practitioners that </w:t>
      </w:r>
      <w:r w:rsidR="00F5726E">
        <w:rPr>
          <w:szCs w:val="20"/>
        </w:rPr>
        <w:t>states</w:t>
      </w:r>
      <w:r w:rsidRPr="00816C55">
        <w:rPr>
          <w:szCs w:val="20"/>
        </w:rPr>
        <w:t xml:space="preserve"> that a practitioner has a blood-borne virus.  However, it will publish the fact that the practitioner has conditions imposed or has accepted undertakings related to their health, and it may publish </w:t>
      </w:r>
      <w:r>
        <w:rPr>
          <w:szCs w:val="20"/>
        </w:rPr>
        <w:t xml:space="preserve">information about </w:t>
      </w:r>
      <w:r w:rsidRPr="00816C55">
        <w:rPr>
          <w:szCs w:val="20"/>
        </w:rPr>
        <w:t xml:space="preserve">the practitioner’s  scope of practice.   </w:t>
      </w:r>
    </w:p>
    <w:p w:rsidR="0030647E" w:rsidRDefault="008F1397">
      <w:pPr>
        <w:pStyle w:val="AHPRASubhead"/>
      </w:pPr>
      <w:r w:rsidRPr="008F1397">
        <w:t>Treating doctors</w:t>
      </w:r>
    </w:p>
    <w:p w:rsidR="00F5726E" w:rsidRPr="00816C55" w:rsidRDefault="00F5726E" w:rsidP="00F5726E">
      <w:pPr>
        <w:pStyle w:val="AHPRAlastbulletpoint"/>
        <w:ind w:left="357" w:hanging="357"/>
        <w:rPr>
          <w:szCs w:val="20"/>
        </w:rPr>
      </w:pPr>
      <w:r w:rsidRPr="00816C55">
        <w:rPr>
          <w:szCs w:val="20"/>
        </w:rPr>
        <w:t xml:space="preserve">Treating practitioners who are treating a registered health practitioner or student with a blood-borne virus do not have an obligation to report their patient to the relevant Board if the practitioner or student is complying with </w:t>
      </w:r>
      <w:r w:rsidR="00166CC1">
        <w:rPr>
          <w:szCs w:val="20"/>
        </w:rPr>
        <w:t>the CDNA</w:t>
      </w:r>
      <w:r w:rsidRPr="00816C55">
        <w:rPr>
          <w:szCs w:val="20"/>
        </w:rPr>
        <w:t xml:space="preserve"> guidelines.  In deciding whether it is necessary to notify the Board, treating practitioners should take into consideration a range of factors including</w:t>
      </w:r>
      <w:r w:rsidR="00C40B2C">
        <w:rPr>
          <w:szCs w:val="20"/>
        </w:rPr>
        <w:t xml:space="preserve"> whether the</w:t>
      </w:r>
      <w:r w:rsidRPr="00816C55">
        <w:rPr>
          <w:szCs w:val="20"/>
        </w:rPr>
        <w:t>:</w:t>
      </w:r>
    </w:p>
    <w:p w:rsidR="0030647E" w:rsidRDefault="00F5726E">
      <w:pPr>
        <w:pStyle w:val="NormalWeb"/>
        <w:numPr>
          <w:ilvl w:val="1"/>
          <w:numId w:val="5"/>
        </w:numPr>
        <w:tabs>
          <w:tab w:val="left" w:pos="709"/>
        </w:tabs>
        <w:spacing w:before="2" w:after="2"/>
        <w:ind w:left="709" w:hanging="283"/>
        <w:rPr>
          <w:rFonts w:ascii="Arial" w:hAnsi="Arial"/>
        </w:rPr>
      </w:pPr>
      <w:r>
        <w:rPr>
          <w:rFonts w:ascii="Arial" w:hAnsi="Arial"/>
        </w:rPr>
        <w:t>practitioner or student is infectious</w:t>
      </w:r>
    </w:p>
    <w:p w:rsidR="0030647E" w:rsidRDefault="00F5726E">
      <w:pPr>
        <w:pStyle w:val="NormalWeb"/>
        <w:numPr>
          <w:ilvl w:val="1"/>
          <w:numId w:val="5"/>
        </w:numPr>
        <w:tabs>
          <w:tab w:val="left" w:pos="709"/>
        </w:tabs>
        <w:spacing w:before="2" w:after="2"/>
        <w:ind w:left="709" w:hanging="283"/>
        <w:rPr>
          <w:rFonts w:ascii="Arial" w:eastAsia="Cambria" w:hAnsi="Arial"/>
          <w:lang w:val="en-US"/>
        </w:rPr>
      </w:pPr>
      <w:r w:rsidRPr="00A16F2B">
        <w:rPr>
          <w:rFonts w:ascii="Arial" w:eastAsia="Cambria" w:hAnsi="Arial"/>
          <w:lang w:val="en-US"/>
        </w:rPr>
        <w:t xml:space="preserve">practitioner’s or student’s practice is likely to include procedures that the </w:t>
      </w:r>
      <w:r w:rsidR="00166CC1">
        <w:rPr>
          <w:rFonts w:ascii="Arial" w:eastAsia="Cambria" w:hAnsi="Arial"/>
          <w:lang w:val="en-US"/>
        </w:rPr>
        <w:t>CDNA</w:t>
      </w:r>
      <w:r w:rsidRPr="00A16F2B">
        <w:rPr>
          <w:rFonts w:ascii="Arial" w:eastAsia="Cambria" w:hAnsi="Arial"/>
          <w:lang w:val="en-US"/>
        </w:rPr>
        <w:t xml:space="preserve"> guidelines preclude them from performing (e.g. in some cases, practitioners are not permitted to perform  exposure-prone procedures)</w:t>
      </w:r>
    </w:p>
    <w:p w:rsidR="00C40B2C" w:rsidRDefault="00F5726E">
      <w:pPr>
        <w:pStyle w:val="NormalWeb"/>
        <w:numPr>
          <w:ilvl w:val="1"/>
          <w:numId w:val="5"/>
        </w:numPr>
        <w:tabs>
          <w:tab w:val="left" w:pos="709"/>
        </w:tabs>
        <w:spacing w:before="2" w:after="2"/>
        <w:ind w:left="709" w:hanging="283"/>
        <w:rPr>
          <w:rFonts w:ascii="Arial" w:hAnsi="Arial"/>
        </w:rPr>
      </w:pPr>
      <w:r>
        <w:rPr>
          <w:rFonts w:ascii="Arial" w:hAnsi="Arial"/>
        </w:rPr>
        <w:t xml:space="preserve">practitioner or student has changed their scope of practice to comply with the </w:t>
      </w:r>
      <w:r w:rsidR="00166CC1">
        <w:rPr>
          <w:rFonts w:ascii="Arial" w:hAnsi="Arial"/>
        </w:rPr>
        <w:t>CDNA</w:t>
      </w:r>
      <w:r>
        <w:rPr>
          <w:rFonts w:ascii="Arial" w:hAnsi="Arial"/>
        </w:rPr>
        <w:t xml:space="preserve"> guidelines</w:t>
      </w:r>
    </w:p>
    <w:p w:rsidR="0030647E" w:rsidRDefault="00C40B2C">
      <w:pPr>
        <w:pStyle w:val="NormalWeb"/>
        <w:numPr>
          <w:ilvl w:val="1"/>
          <w:numId w:val="5"/>
        </w:numPr>
        <w:tabs>
          <w:tab w:val="left" w:pos="709"/>
        </w:tabs>
        <w:spacing w:before="2" w:after="2"/>
        <w:ind w:left="709" w:hanging="283"/>
        <w:rPr>
          <w:rFonts w:ascii="Arial" w:hAnsi="Arial"/>
        </w:rPr>
      </w:pPr>
      <w:r>
        <w:rPr>
          <w:rFonts w:ascii="Arial" w:hAnsi="Arial"/>
        </w:rPr>
        <w:t>practitioner or student has another condition that may affect their ability to comply with the CDNA guidelines</w:t>
      </w:r>
      <w:r w:rsidR="00F5726E">
        <w:rPr>
          <w:rFonts w:ascii="Arial" w:hAnsi="Arial"/>
        </w:rPr>
        <w:t>.</w:t>
      </w:r>
    </w:p>
    <w:p w:rsidR="0030647E" w:rsidRDefault="0030647E">
      <w:pPr>
        <w:pStyle w:val="NormalWeb"/>
        <w:tabs>
          <w:tab w:val="left" w:pos="709"/>
        </w:tabs>
        <w:spacing w:before="2" w:after="2"/>
        <w:ind w:left="709"/>
        <w:rPr>
          <w:rFonts w:ascii="Arial" w:hAnsi="Arial"/>
        </w:rPr>
      </w:pPr>
    </w:p>
    <w:p w:rsidR="00B57DF9" w:rsidRPr="00816C55" w:rsidRDefault="00B57DF9" w:rsidP="00B57DF9">
      <w:pPr>
        <w:pStyle w:val="AHPRAlastbulletpoint"/>
        <w:ind w:left="357" w:hanging="357"/>
        <w:rPr>
          <w:szCs w:val="20"/>
        </w:rPr>
      </w:pPr>
      <w:r w:rsidRPr="00816C55">
        <w:rPr>
          <w:szCs w:val="20"/>
        </w:rPr>
        <w:t xml:space="preserve">If a registered health practitioner or student with a blood-borne virus is </w:t>
      </w:r>
      <w:r>
        <w:rPr>
          <w:szCs w:val="20"/>
        </w:rPr>
        <w:t xml:space="preserve">not complying with the </w:t>
      </w:r>
      <w:r w:rsidR="00166CC1">
        <w:rPr>
          <w:szCs w:val="20"/>
        </w:rPr>
        <w:t>CDNA</w:t>
      </w:r>
      <w:r w:rsidRPr="00816C55">
        <w:rPr>
          <w:szCs w:val="20"/>
        </w:rPr>
        <w:t xml:space="preserve"> guidelines</w:t>
      </w:r>
      <w:r>
        <w:rPr>
          <w:szCs w:val="20"/>
        </w:rPr>
        <w:t xml:space="preserve"> (e.g. by performing procedures that the guidelines preclude them from performing), </w:t>
      </w:r>
      <w:r w:rsidRPr="00816C55">
        <w:rPr>
          <w:szCs w:val="20"/>
        </w:rPr>
        <w:t>they are engaging in notifiable conduct because they have “</w:t>
      </w:r>
      <w:r w:rsidRPr="0023538B">
        <w:rPr>
          <w:i/>
          <w:szCs w:val="20"/>
        </w:rPr>
        <w:t>…placed the public at risk of substantial harm in the practitioner’s practice of the profession because the practitioner has an impairment</w:t>
      </w:r>
      <w:r w:rsidRPr="00816C55">
        <w:rPr>
          <w:szCs w:val="20"/>
        </w:rPr>
        <w:t>”</w:t>
      </w:r>
      <w:r w:rsidRPr="00D05ECB">
        <w:rPr>
          <w:b/>
          <w:szCs w:val="20"/>
          <w:vertAlign w:val="superscript"/>
        </w:rPr>
        <w:footnoteReference w:id="12"/>
      </w:r>
      <w:r w:rsidRPr="00D05ECB">
        <w:rPr>
          <w:szCs w:val="20"/>
        </w:rPr>
        <w:t>.</w:t>
      </w:r>
      <w:r w:rsidRPr="00816C55">
        <w:rPr>
          <w:szCs w:val="20"/>
        </w:rPr>
        <w:t xml:space="preserve"> </w:t>
      </w:r>
      <w:r>
        <w:rPr>
          <w:szCs w:val="20"/>
        </w:rPr>
        <w:t xml:space="preserve">  T</w:t>
      </w:r>
      <w:r w:rsidRPr="00816C55">
        <w:rPr>
          <w:szCs w:val="20"/>
        </w:rPr>
        <w:t>reating practitioners have a mandatory obligation to notify the Board (</w:t>
      </w:r>
      <w:r w:rsidR="00BB76E0">
        <w:rPr>
          <w:szCs w:val="20"/>
        </w:rPr>
        <w:t>through</w:t>
      </w:r>
      <w:r w:rsidR="00BB76E0" w:rsidRPr="00816C55">
        <w:rPr>
          <w:szCs w:val="20"/>
        </w:rPr>
        <w:t xml:space="preserve"> </w:t>
      </w:r>
      <w:r w:rsidRPr="00816C55">
        <w:rPr>
          <w:szCs w:val="20"/>
        </w:rPr>
        <w:t>the Australian Health Practitioner Regulation Agency) of the notifiable conduct</w:t>
      </w:r>
      <w:r>
        <w:rPr>
          <w:szCs w:val="20"/>
        </w:rPr>
        <w:t xml:space="preserve"> (except for Queensland and Western Australia)</w:t>
      </w:r>
      <w:r w:rsidRPr="00816C55">
        <w:rPr>
          <w:szCs w:val="20"/>
        </w:rPr>
        <w:t xml:space="preserve">. </w:t>
      </w:r>
      <w:r>
        <w:rPr>
          <w:szCs w:val="20"/>
        </w:rPr>
        <w:t xml:space="preserve"> </w:t>
      </w:r>
      <w:r w:rsidRPr="00816C55">
        <w:rPr>
          <w:szCs w:val="20"/>
        </w:rPr>
        <w:t>In addition to the mandatory reporting obligations, treating practitioners have an ethical obligation to report that their registered health practitioner or student patient is placing the public at risk by</w:t>
      </w:r>
      <w:r>
        <w:rPr>
          <w:szCs w:val="20"/>
        </w:rPr>
        <w:t xml:space="preserve"> not complying with the </w:t>
      </w:r>
      <w:r w:rsidR="00166CC1">
        <w:rPr>
          <w:szCs w:val="20"/>
        </w:rPr>
        <w:t>CDNA</w:t>
      </w:r>
      <w:r>
        <w:rPr>
          <w:szCs w:val="20"/>
        </w:rPr>
        <w:t xml:space="preserve"> guidelines.</w:t>
      </w:r>
      <w:r>
        <w:rPr>
          <w:rStyle w:val="FootnoteReference"/>
          <w:szCs w:val="20"/>
        </w:rPr>
        <w:footnoteReference w:id="13"/>
      </w:r>
    </w:p>
    <w:p w:rsidR="00900921" w:rsidRPr="00816C55" w:rsidRDefault="00900921" w:rsidP="00900921">
      <w:pPr>
        <w:pStyle w:val="AHPRAlastbulletpoint"/>
        <w:ind w:left="357" w:hanging="357"/>
        <w:rPr>
          <w:szCs w:val="20"/>
        </w:rPr>
      </w:pPr>
      <w:r w:rsidRPr="00816C55">
        <w:rPr>
          <w:szCs w:val="20"/>
        </w:rPr>
        <w:t xml:space="preserve">Treating practitioners who are treating a registered health practitioner or student with a blood-borne virus should refer to the </w:t>
      </w:r>
      <w:r w:rsidR="00B57DF9">
        <w:rPr>
          <w:szCs w:val="20"/>
        </w:rPr>
        <w:t xml:space="preserve">National Law and the </w:t>
      </w:r>
      <w:r w:rsidRPr="00816C55">
        <w:rPr>
          <w:szCs w:val="20"/>
        </w:rPr>
        <w:t xml:space="preserve">Boards’ guidelines on mandatory reporting </w:t>
      </w:r>
      <w:r w:rsidR="00391CD1">
        <w:rPr>
          <w:szCs w:val="20"/>
        </w:rPr>
        <w:t>notifications</w:t>
      </w:r>
      <w:r w:rsidR="00391CD1" w:rsidRPr="00816C55">
        <w:rPr>
          <w:szCs w:val="20"/>
        </w:rPr>
        <w:t xml:space="preserve"> </w:t>
      </w:r>
      <w:r w:rsidRPr="00816C55">
        <w:rPr>
          <w:szCs w:val="20"/>
        </w:rPr>
        <w:t>to help them decide whether it is necessary to make a mandatory notification.</w:t>
      </w:r>
    </w:p>
    <w:p w:rsidR="00900921" w:rsidRPr="00DB3FB2" w:rsidRDefault="00900921" w:rsidP="00900921">
      <w:pPr>
        <w:pStyle w:val="AHPRASubheading"/>
      </w:pPr>
      <w:r w:rsidRPr="00DB3FB2">
        <w:t>Other relevant regulatory aspects</w:t>
      </w:r>
    </w:p>
    <w:p w:rsidR="002C6139" w:rsidRDefault="00BB76E0">
      <w:pPr>
        <w:pStyle w:val="NormalWeb"/>
        <w:numPr>
          <w:ilvl w:val="0"/>
          <w:numId w:val="8"/>
        </w:numPr>
        <w:spacing w:before="2" w:after="2"/>
        <w:rPr>
          <w:rFonts w:ascii="Arial" w:eastAsia="Cambria" w:hAnsi="Arial"/>
          <w:lang w:val="en-US"/>
        </w:rPr>
      </w:pPr>
      <w:r>
        <w:rPr>
          <w:rFonts w:ascii="Arial" w:eastAsia="Cambria" w:hAnsi="Arial"/>
          <w:lang w:val="en-US"/>
        </w:rPr>
        <w:t>When applying</w:t>
      </w:r>
      <w:r w:rsidR="000A3880" w:rsidRPr="000A3880">
        <w:rPr>
          <w:rFonts w:ascii="Arial" w:eastAsia="Cambria" w:hAnsi="Arial"/>
          <w:lang w:val="en-US"/>
        </w:rPr>
        <w:t xml:space="preserve"> for registration and for renewal of registration, all practitioners are required to declare that they do not have an impairment. </w:t>
      </w:r>
      <w:r w:rsidR="008F1397">
        <w:rPr>
          <w:rFonts w:ascii="Arial" w:eastAsia="Cambria" w:hAnsi="Arial"/>
          <w:lang w:val="en-US"/>
        </w:rPr>
        <w:t xml:space="preserve"> </w:t>
      </w:r>
      <w:r w:rsidR="000A3880" w:rsidRPr="000A3880">
        <w:rPr>
          <w:rFonts w:ascii="Arial" w:eastAsia="Cambria" w:hAnsi="Arial"/>
          <w:lang w:val="en-US"/>
        </w:rPr>
        <w:t xml:space="preserve">A registered health practitioner with a blood-borne virus who is not complying with the </w:t>
      </w:r>
      <w:r w:rsidR="00166CC1">
        <w:rPr>
          <w:rFonts w:ascii="Arial" w:eastAsia="Cambria" w:hAnsi="Arial"/>
          <w:lang w:val="en-US"/>
        </w:rPr>
        <w:t>CDNA</w:t>
      </w:r>
      <w:r w:rsidR="000A3880" w:rsidRPr="000A3880">
        <w:rPr>
          <w:rFonts w:ascii="Arial" w:eastAsia="Cambria" w:hAnsi="Arial"/>
          <w:lang w:val="en-US"/>
        </w:rPr>
        <w:t xml:space="preserve"> guidelines falls </w:t>
      </w:r>
      <w:r>
        <w:rPr>
          <w:rFonts w:ascii="Arial" w:eastAsia="Cambria" w:hAnsi="Arial"/>
          <w:lang w:val="en-US"/>
        </w:rPr>
        <w:t>into</w:t>
      </w:r>
      <w:r w:rsidRPr="000A3880">
        <w:rPr>
          <w:rFonts w:ascii="Arial" w:eastAsia="Cambria" w:hAnsi="Arial"/>
          <w:lang w:val="en-US"/>
        </w:rPr>
        <w:t xml:space="preserve"> </w:t>
      </w:r>
      <w:r w:rsidR="000A3880" w:rsidRPr="000A3880">
        <w:rPr>
          <w:rFonts w:ascii="Arial" w:eastAsia="Cambria" w:hAnsi="Arial"/>
          <w:lang w:val="en-US"/>
        </w:rPr>
        <w:t>the definition of impairment and should make a positive declaration. The Board w</w:t>
      </w:r>
      <w:r w:rsidR="00B7311C">
        <w:rPr>
          <w:rFonts w:ascii="Arial" w:eastAsia="Cambria" w:hAnsi="Arial"/>
          <w:lang w:val="en-US"/>
        </w:rPr>
        <w:t>ill</w:t>
      </w:r>
      <w:r w:rsidR="000A3880" w:rsidRPr="000A3880">
        <w:rPr>
          <w:rFonts w:ascii="Arial" w:eastAsia="Cambria" w:hAnsi="Arial"/>
          <w:lang w:val="en-US"/>
        </w:rPr>
        <w:t xml:space="preserve"> assess positive declaration</w:t>
      </w:r>
      <w:r w:rsidR="00B7311C">
        <w:rPr>
          <w:rFonts w:ascii="Arial" w:eastAsia="Cambria" w:hAnsi="Arial"/>
          <w:lang w:val="en-US"/>
        </w:rPr>
        <w:t>s</w:t>
      </w:r>
      <w:r w:rsidR="000A3880" w:rsidRPr="000A3880">
        <w:rPr>
          <w:rFonts w:ascii="Arial" w:eastAsia="Cambria" w:hAnsi="Arial"/>
          <w:lang w:val="en-US"/>
        </w:rPr>
        <w:t xml:space="preserve">, including </w:t>
      </w:r>
      <w:r>
        <w:rPr>
          <w:rFonts w:ascii="Arial" w:eastAsia="Cambria" w:hAnsi="Arial"/>
          <w:lang w:val="en-US"/>
        </w:rPr>
        <w:t>by</w:t>
      </w:r>
      <w:r w:rsidRPr="000A3880">
        <w:rPr>
          <w:rFonts w:ascii="Arial" w:eastAsia="Cambria" w:hAnsi="Arial"/>
          <w:lang w:val="en-US"/>
        </w:rPr>
        <w:t xml:space="preserve"> </w:t>
      </w:r>
      <w:r w:rsidR="000A3880" w:rsidRPr="000A3880">
        <w:rPr>
          <w:rFonts w:ascii="Arial" w:eastAsia="Cambria" w:hAnsi="Arial"/>
          <w:lang w:val="en-US"/>
        </w:rPr>
        <w:t>seek</w:t>
      </w:r>
      <w:r>
        <w:rPr>
          <w:rFonts w:ascii="Arial" w:eastAsia="Cambria" w:hAnsi="Arial"/>
          <w:lang w:val="en-US"/>
        </w:rPr>
        <w:t>ing</w:t>
      </w:r>
      <w:r w:rsidR="000A3880" w:rsidRPr="000A3880">
        <w:rPr>
          <w:rFonts w:ascii="Arial" w:eastAsia="Cambria" w:hAnsi="Arial"/>
          <w:lang w:val="en-US"/>
        </w:rPr>
        <w:t xml:space="preserve"> additional information</w:t>
      </w:r>
      <w:r>
        <w:rPr>
          <w:rFonts w:ascii="Arial" w:eastAsia="Cambria" w:hAnsi="Arial"/>
          <w:lang w:val="en-US"/>
        </w:rPr>
        <w:t xml:space="preserve">. It </w:t>
      </w:r>
      <w:r w:rsidR="000A3880" w:rsidRPr="000A3880">
        <w:rPr>
          <w:rFonts w:ascii="Arial" w:eastAsia="Cambria" w:hAnsi="Arial"/>
          <w:lang w:val="en-US"/>
        </w:rPr>
        <w:t>w</w:t>
      </w:r>
      <w:r w:rsidR="00B7311C">
        <w:rPr>
          <w:rFonts w:ascii="Arial" w:eastAsia="Cambria" w:hAnsi="Arial"/>
          <w:lang w:val="en-US"/>
        </w:rPr>
        <w:t>ill</w:t>
      </w:r>
      <w:r w:rsidR="000A3880" w:rsidRPr="000A3880">
        <w:rPr>
          <w:rFonts w:ascii="Arial" w:eastAsia="Cambria" w:hAnsi="Arial"/>
          <w:lang w:val="en-US"/>
        </w:rPr>
        <w:t xml:space="preserve"> take the necessary action under the National Law to protect the public. The Board </w:t>
      </w:r>
      <w:r w:rsidR="00B7311C">
        <w:rPr>
          <w:rFonts w:ascii="Arial" w:eastAsia="Cambria" w:hAnsi="Arial"/>
          <w:lang w:val="en-US"/>
        </w:rPr>
        <w:t>will</w:t>
      </w:r>
      <w:r w:rsidR="000A3880" w:rsidRPr="000A3880">
        <w:rPr>
          <w:rFonts w:ascii="Arial" w:eastAsia="Cambria" w:hAnsi="Arial"/>
          <w:lang w:val="en-US"/>
        </w:rPr>
        <w:t xml:space="preserve"> also take action under the National Law if a practitioner makes a false declaration.  </w:t>
      </w:r>
    </w:p>
    <w:p w:rsidR="0030647E" w:rsidRDefault="0030647E">
      <w:pPr>
        <w:pStyle w:val="NormalWeb"/>
        <w:spacing w:before="2" w:after="2"/>
        <w:rPr>
          <w:rFonts w:ascii="Arial" w:eastAsia="Cambria" w:hAnsi="Arial"/>
          <w:lang w:val="en-US"/>
        </w:rPr>
      </w:pPr>
    </w:p>
    <w:p w:rsidR="00900921" w:rsidRDefault="00900921" w:rsidP="00900921">
      <w:pPr>
        <w:pStyle w:val="AHPRAlastbulletpoint"/>
        <w:ind w:left="357" w:hanging="357"/>
        <w:rPr>
          <w:szCs w:val="20"/>
        </w:rPr>
      </w:pPr>
      <w:r w:rsidRPr="00816C55">
        <w:rPr>
          <w:szCs w:val="20"/>
        </w:rPr>
        <w:t xml:space="preserve">Boards </w:t>
      </w:r>
      <w:r w:rsidR="008F1397">
        <w:rPr>
          <w:szCs w:val="20"/>
        </w:rPr>
        <w:t xml:space="preserve">who regulate practitioners who may perform exposure-prone procedures </w:t>
      </w:r>
      <w:r w:rsidRPr="00816C55">
        <w:rPr>
          <w:szCs w:val="20"/>
        </w:rPr>
        <w:t>ma</w:t>
      </w:r>
      <w:r w:rsidR="0038113A">
        <w:rPr>
          <w:szCs w:val="20"/>
        </w:rPr>
        <w:t>y ask practitioners when they</w:t>
      </w:r>
      <w:r w:rsidRPr="00816C55">
        <w:rPr>
          <w:szCs w:val="20"/>
        </w:rPr>
        <w:t xml:space="preserve"> appl</w:t>
      </w:r>
      <w:r w:rsidR="0038113A">
        <w:rPr>
          <w:szCs w:val="20"/>
        </w:rPr>
        <w:t>y</w:t>
      </w:r>
      <w:r w:rsidRPr="00816C55">
        <w:rPr>
          <w:szCs w:val="20"/>
        </w:rPr>
        <w:t xml:space="preserve"> for registration or renewal of registration to declare that they are aware of their infection status for blood-borne viruses and </w:t>
      </w:r>
      <w:r w:rsidR="008F1397">
        <w:rPr>
          <w:szCs w:val="20"/>
        </w:rPr>
        <w:t xml:space="preserve">to declare </w:t>
      </w:r>
      <w:r w:rsidRPr="00816C55">
        <w:rPr>
          <w:szCs w:val="20"/>
        </w:rPr>
        <w:t>that they will comply with the</w:t>
      </w:r>
      <w:r w:rsidR="007619D0">
        <w:rPr>
          <w:szCs w:val="20"/>
        </w:rPr>
        <w:t xml:space="preserve"> </w:t>
      </w:r>
      <w:r w:rsidR="00166CC1">
        <w:rPr>
          <w:szCs w:val="20"/>
        </w:rPr>
        <w:t>CDNA</w:t>
      </w:r>
      <w:r w:rsidRPr="00816C55">
        <w:rPr>
          <w:szCs w:val="20"/>
        </w:rPr>
        <w:t xml:space="preserve"> guidelines and with</w:t>
      </w:r>
      <w:r w:rsidR="007619D0">
        <w:rPr>
          <w:szCs w:val="20"/>
        </w:rPr>
        <w:t xml:space="preserve"> any</w:t>
      </w:r>
      <w:r w:rsidRPr="00816C55">
        <w:rPr>
          <w:szCs w:val="20"/>
        </w:rPr>
        <w:t xml:space="preserve"> requirements </w:t>
      </w:r>
      <w:r w:rsidR="007619D0">
        <w:rPr>
          <w:szCs w:val="20"/>
        </w:rPr>
        <w:t>in</w:t>
      </w:r>
      <w:r w:rsidRPr="00816C55">
        <w:rPr>
          <w:szCs w:val="20"/>
        </w:rPr>
        <w:t xml:space="preserve"> the relevant Board’s Infection Control Guidelines in relation to blood-borne viruses. </w:t>
      </w:r>
    </w:p>
    <w:p w:rsidR="00F5726E" w:rsidRPr="005F7551" w:rsidRDefault="00F5726E" w:rsidP="005F7551">
      <w:pPr>
        <w:pStyle w:val="AHPRAlastbulletpoint"/>
        <w:ind w:left="357" w:hanging="357"/>
      </w:pPr>
      <w:r>
        <w:t xml:space="preserve">The Board will inform the relevant department of health if a health practitioner is infected with a blood-borne virus and has not complied with the </w:t>
      </w:r>
      <w:r w:rsidR="00166CC1">
        <w:t>CDNA</w:t>
      </w:r>
      <w:r>
        <w:t xml:space="preserve"> guidelines</w:t>
      </w:r>
      <w:r w:rsidR="0095637B">
        <w:t>, therefore placing the public at risk.</w:t>
      </w:r>
    </w:p>
    <w:p w:rsidR="00900921" w:rsidRDefault="00900921" w:rsidP="00900921">
      <w:pPr>
        <w:pStyle w:val="AHPRASubheading"/>
        <w:rPr>
          <w:lang w:val="en-AU"/>
        </w:rPr>
      </w:pPr>
    </w:p>
    <w:p w:rsidR="00900921" w:rsidRPr="005B27AA" w:rsidRDefault="00900921" w:rsidP="00900921">
      <w:pPr>
        <w:pStyle w:val="AHPRASubheading"/>
        <w:rPr>
          <w:lang w:val="en-AU"/>
        </w:rPr>
      </w:pPr>
      <w:r w:rsidRPr="005B27AA">
        <w:rPr>
          <w:lang w:val="en-AU"/>
        </w:rPr>
        <w:t>Definitions</w:t>
      </w:r>
    </w:p>
    <w:p w:rsidR="00900921" w:rsidRDefault="00900921" w:rsidP="00900921">
      <w:pPr>
        <w:pStyle w:val="NormalWeb"/>
        <w:spacing w:before="2" w:afterLines="0"/>
        <w:rPr>
          <w:rFonts w:ascii="Arial" w:hAnsi="Arial"/>
        </w:rPr>
      </w:pPr>
      <w:r>
        <w:rPr>
          <w:rFonts w:ascii="Arial" w:hAnsi="Arial"/>
          <w:b/>
        </w:rPr>
        <w:t xml:space="preserve">Blood-borne viruses </w:t>
      </w:r>
      <w:r w:rsidRPr="00383489">
        <w:rPr>
          <w:rFonts w:ascii="Arial" w:hAnsi="Arial"/>
        </w:rPr>
        <w:t>are typically</w:t>
      </w:r>
      <w:r>
        <w:rPr>
          <w:rFonts w:ascii="Arial" w:hAnsi="Arial"/>
        </w:rPr>
        <w:t xml:space="preserve"> HIV (</w:t>
      </w:r>
      <w:r>
        <w:rPr>
          <w:rFonts w:ascii="Arial" w:eastAsia="Cambria" w:hAnsi="Arial"/>
          <w:szCs w:val="24"/>
        </w:rPr>
        <w:t xml:space="preserve">Human immunodeficiency virus), HBV (hepatitis B virus) and HCV (hepatitis C virus) </w:t>
      </w:r>
    </w:p>
    <w:p w:rsidR="00900921" w:rsidRDefault="00900921" w:rsidP="00900921">
      <w:pPr>
        <w:pStyle w:val="NormalWeb"/>
        <w:spacing w:before="2" w:afterLines="0"/>
        <w:rPr>
          <w:rFonts w:ascii="Arial" w:hAnsi="Arial"/>
        </w:rPr>
      </w:pPr>
      <w:r w:rsidRPr="00A85D07">
        <w:rPr>
          <w:rFonts w:ascii="Arial" w:hAnsi="Arial"/>
          <w:b/>
        </w:rPr>
        <w:t>CDNA</w:t>
      </w:r>
      <w:r>
        <w:rPr>
          <w:rFonts w:ascii="Arial" w:hAnsi="Arial"/>
        </w:rPr>
        <w:t xml:space="preserve"> is the Communicable Diseases Network Australia </w:t>
      </w:r>
    </w:p>
    <w:p w:rsidR="00900921" w:rsidRDefault="00900921" w:rsidP="00900921">
      <w:pPr>
        <w:pStyle w:val="NormalWeb"/>
        <w:spacing w:before="2" w:afterLines="0"/>
        <w:rPr>
          <w:rFonts w:ascii="Arial" w:hAnsi="Arial"/>
        </w:rPr>
      </w:pPr>
      <w:r w:rsidRPr="000B49C9">
        <w:rPr>
          <w:rFonts w:ascii="Arial" w:hAnsi="Arial"/>
          <w:b/>
        </w:rPr>
        <w:t>CDNA guidelines</w:t>
      </w:r>
      <w:r>
        <w:rPr>
          <w:rFonts w:ascii="Arial" w:hAnsi="Arial"/>
        </w:rPr>
        <w:t xml:space="preserve"> are the </w:t>
      </w:r>
      <w:r w:rsidRPr="00EA2FA1">
        <w:rPr>
          <w:rFonts w:ascii="Arial" w:hAnsi="Arial"/>
          <w:i/>
        </w:rPr>
        <w:t>Australian National Guidelines for the Management of Health Care Workers known to be infected with blood-borne viruses</w:t>
      </w:r>
      <w:r>
        <w:rPr>
          <w:rFonts w:ascii="Arial" w:hAnsi="Arial"/>
        </w:rPr>
        <w:t xml:space="preserve"> published by the CDNA </w:t>
      </w:r>
    </w:p>
    <w:p w:rsidR="0095637B" w:rsidRPr="0095637B" w:rsidRDefault="0095637B" w:rsidP="0095637B">
      <w:pPr>
        <w:pStyle w:val="FootnoteText"/>
        <w:rPr>
          <w:rFonts w:ascii="Arial" w:hAnsi="Arial" w:cs="Arial"/>
          <w:szCs w:val="16"/>
          <w:lang w:val="en-US"/>
        </w:rPr>
      </w:pPr>
      <w:r w:rsidRPr="00A8288F">
        <w:rPr>
          <w:rFonts w:ascii="Arial" w:hAnsi="Arial"/>
          <w:b/>
        </w:rPr>
        <w:t>Exposure prone procedure</w:t>
      </w:r>
      <w:r>
        <w:rPr>
          <w:rFonts w:ascii="Arial" w:hAnsi="Arial"/>
        </w:rPr>
        <w:t xml:space="preserve"> </w:t>
      </w:r>
      <w:r w:rsidRPr="0095637B">
        <w:rPr>
          <w:rFonts w:ascii="Arial" w:hAnsi="Arial"/>
        </w:rPr>
        <w:t xml:space="preserve">- </w:t>
      </w:r>
      <w:r w:rsidR="000A3880" w:rsidRPr="000A3880">
        <w:rPr>
          <w:rFonts w:ascii="Arial" w:hAnsi="Arial"/>
        </w:rPr>
        <w:t xml:space="preserve">The current CDNA guidelines </w:t>
      </w:r>
      <w:r w:rsidR="000A3880" w:rsidRPr="000A3880">
        <w:rPr>
          <w:rFonts w:ascii="Arial" w:eastAsia="Cambria" w:hAnsi="Arial" w:cs="Arial"/>
          <w:i/>
          <w:szCs w:val="24"/>
        </w:rPr>
        <w:t xml:space="preserve">Australian National Guidelines for the Management of Health Care Workers known to be infected with blood-borne viruses </w:t>
      </w:r>
      <w:r w:rsidR="000A3880" w:rsidRPr="000A3880">
        <w:rPr>
          <w:rFonts w:ascii="Arial" w:eastAsia="Cambria" w:hAnsi="Arial" w:cs="Arial"/>
          <w:szCs w:val="24"/>
        </w:rPr>
        <w:t xml:space="preserve"> at </w:t>
      </w:r>
      <w:hyperlink r:id="rId17" w:history="1">
        <w:r w:rsidR="000A3880" w:rsidRPr="000A3880">
          <w:rPr>
            <w:rStyle w:val="Hyperlink"/>
            <w:rFonts w:ascii="Arial" w:eastAsia="Cambria" w:hAnsi="Arial" w:cs="Arial"/>
            <w:szCs w:val="24"/>
          </w:rPr>
          <w:t>http://www.health.gov.au/internet/main/publishing.nsf/Content/cda-cdna-bloodborne.htm</w:t>
        </w:r>
      </w:hyperlink>
      <w:r w:rsidR="000A3880" w:rsidRPr="000A3880">
        <w:rPr>
          <w:rFonts w:ascii="Arial" w:eastAsia="Cambria" w:hAnsi="Arial" w:cs="Arial"/>
          <w:szCs w:val="24"/>
        </w:rPr>
        <w:t xml:space="preserve"> define </w:t>
      </w:r>
      <w:r w:rsidR="000A3880" w:rsidRPr="000A3880">
        <w:rPr>
          <w:rFonts w:ascii="Arial" w:hAnsi="Arial" w:cs="Arial"/>
          <w:szCs w:val="16"/>
        </w:rPr>
        <w:t>an e</w:t>
      </w:r>
      <w:r w:rsidR="000A3880" w:rsidRPr="000A3880">
        <w:rPr>
          <w:rFonts w:ascii="Arial" w:hAnsi="Arial" w:cs="Arial"/>
          <w:szCs w:val="16"/>
          <w:lang w:val="en-US"/>
        </w:rPr>
        <w:t>xposure prone procedure as a procedure where there is a risk of injury to the healthcare worker resulting in exposure of the patient’s open tissues to the blood of the worker. These procedures include those where the worker’s hands (whether gloved or not) may be in contact with sharp instruments, needle tips or sharp tissues (spicules of bone or teeth) inside a patient’s open body cavity, wound or confined anatomical space where the hands or fingertips may not be completely visible at all times.</w:t>
      </w:r>
    </w:p>
    <w:p w:rsidR="0095637B" w:rsidRDefault="0095637B" w:rsidP="00900921">
      <w:pPr>
        <w:autoSpaceDE w:val="0"/>
        <w:autoSpaceDN w:val="0"/>
        <w:adjustRightInd w:val="0"/>
        <w:rPr>
          <w:rFonts w:ascii="Arial" w:hAnsi="Arial"/>
          <w:b/>
        </w:rPr>
      </w:pPr>
    </w:p>
    <w:p w:rsidR="00900921" w:rsidRPr="00A8288F" w:rsidRDefault="00900921" w:rsidP="00900921">
      <w:pPr>
        <w:autoSpaceDE w:val="0"/>
        <w:autoSpaceDN w:val="0"/>
        <w:adjustRightInd w:val="0"/>
        <w:rPr>
          <w:rFonts w:ascii="Arial" w:hAnsi="Arial"/>
          <w:sz w:val="20"/>
          <w:szCs w:val="20"/>
        </w:rPr>
      </w:pPr>
      <w:r>
        <w:rPr>
          <w:rFonts w:ascii="Arial" w:hAnsi="Arial"/>
          <w:b/>
          <w:sz w:val="20"/>
          <w:szCs w:val="20"/>
        </w:rPr>
        <w:t>H</w:t>
      </w:r>
      <w:r w:rsidRPr="00A8288F">
        <w:rPr>
          <w:rFonts w:ascii="Arial" w:hAnsi="Arial"/>
          <w:b/>
          <w:sz w:val="20"/>
          <w:szCs w:val="20"/>
        </w:rPr>
        <w:t>ealth assessment</w:t>
      </w:r>
      <w:r w:rsidRPr="00A8288F">
        <w:rPr>
          <w:rFonts w:ascii="Arial" w:hAnsi="Arial"/>
          <w:sz w:val="20"/>
          <w:szCs w:val="20"/>
        </w:rPr>
        <w:t xml:space="preserve"> means an assessment of a person to</w:t>
      </w:r>
      <w:r>
        <w:rPr>
          <w:rFonts w:ascii="Arial" w:hAnsi="Arial"/>
          <w:sz w:val="20"/>
          <w:szCs w:val="20"/>
        </w:rPr>
        <w:t xml:space="preserve"> </w:t>
      </w:r>
      <w:r w:rsidRPr="00A8288F">
        <w:rPr>
          <w:rFonts w:ascii="Arial" w:hAnsi="Arial"/>
          <w:sz w:val="20"/>
          <w:szCs w:val="20"/>
        </w:rPr>
        <w:t>determine whether the person has an impairment and includes</w:t>
      </w:r>
      <w:r>
        <w:rPr>
          <w:rFonts w:ascii="Arial" w:hAnsi="Arial"/>
          <w:sz w:val="20"/>
          <w:szCs w:val="20"/>
        </w:rPr>
        <w:t xml:space="preserve"> </w:t>
      </w:r>
      <w:r w:rsidRPr="00A8288F">
        <w:rPr>
          <w:rFonts w:ascii="Arial" w:hAnsi="Arial"/>
          <w:sz w:val="20"/>
          <w:szCs w:val="20"/>
        </w:rPr>
        <w:t>a medical, physical, psychiatric or psychological examination</w:t>
      </w:r>
      <w:r>
        <w:rPr>
          <w:rFonts w:ascii="Arial" w:hAnsi="Arial"/>
          <w:sz w:val="20"/>
          <w:szCs w:val="20"/>
        </w:rPr>
        <w:t xml:space="preserve"> </w:t>
      </w:r>
      <w:r w:rsidRPr="00A8288F">
        <w:rPr>
          <w:rFonts w:ascii="Arial" w:hAnsi="Arial"/>
          <w:sz w:val="20"/>
          <w:szCs w:val="20"/>
        </w:rPr>
        <w:t>or test of the person.</w:t>
      </w:r>
    </w:p>
    <w:p w:rsidR="00900921" w:rsidRPr="00A8288F" w:rsidRDefault="00900921" w:rsidP="00900921">
      <w:pPr>
        <w:rPr>
          <w:rFonts w:ascii="Arial" w:hAnsi="Arial"/>
          <w:sz w:val="20"/>
          <w:szCs w:val="20"/>
        </w:rPr>
      </w:pPr>
      <w:r>
        <w:rPr>
          <w:rFonts w:ascii="Arial" w:hAnsi="Arial"/>
          <w:b/>
          <w:sz w:val="20"/>
          <w:szCs w:val="20"/>
        </w:rPr>
        <w:t>Registered health practitioner</w:t>
      </w:r>
      <w:r w:rsidRPr="00A8288F">
        <w:rPr>
          <w:rFonts w:ascii="Arial" w:hAnsi="Arial"/>
          <w:sz w:val="20"/>
          <w:szCs w:val="20"/>
        </w:rPr>
        <w:t xml:space="preserve"> means a person who is registered by one of the 14 </w:t>
      </w:r>
      <w:r>
        <w:rPr>
          <w:rFonts w:ascii="Arial" w:hAnsi="Arial"/>
          <w:sz w:val="20"/>
          <w:szCs w:val="20"/>
        </w:rPr>
        <w:t>health practitioner boards under the Health Practitioner Regulation National Law, as in force in each state and territory.  In the case of this guideline, it also includes registered students.</w:t>
      </w:r>
    </w:p>
    <w:p w:rsidR="00900921" w:rsidRDefault="00900921" w:rsidP="00900921">
      <w:pPr>
        <w:pStyle w:val="NormalWeb"/>
        <w:spacing w:before="2" w:after="2"/>
        <w:rPr>
          <w:rFonts w:ascii="Arial" w:hAnsi="Arial"/>
        </w:rPr>
      </w:pPr>
      <w:r w:rsidRPr="00A8288F">
        <w:rPr>
          <w:rFonts w:ascii="Arial" w:hAnsi="Arial"/>
          <w:b/>
        </w:rPr>
        <w:t>Impairment means</w:t>
      </w:r>
      <w:r>
        <w:rPr>
          <w:rFonts w:ascii="Arial" w:hAnsi="Arial"/>
        </w:rPr>
        <w:t>:</w:t>
      </w:r>
    </w:p>
    <w:p w:rsidR="00900921" w:rsidRPr="00A8288F" w:rsidRDefault="00900921" w:rsidP="00900921">
      <w:pPr>
        <w:autoSpaceDE w:val="0"/>
        <w:autoSpaceDN w:val="0"/>
        <w:adjustRightInd w:val="0"/>
        <w:spacing w:after="120"/>
        <w:rPr>
          <w:rFonts w:ascii="Arial" w:hAnsi="Arial"/>
          <w:sz w:val="20"/>
          <w:szCs w:val="20"/>
        </w:rPr>
      </w:pPr>
      <w:r w:rsidRPr="00A8288F">
        <w:rPr>
          <w:rFonts w:ascii="Arial" w:hAnsi="Arial"/>
          <w:sz w:val="20"/>
          <w:szCs w:val="20"/>
        </w:rPr>
        <w:t>in relation to a person, means the person has a physical or mental impairment, disability, condition or disorder (including substance abuse or dependence) that detrimentally affects or is likely to detrimentally affect—</w:t>
      </w:r>
    </w:p>
    <w:p w:rsidR="00900921" w:rsidRPr="00A8288F" w:rsidRDefault="00900921" w:rsidP="006B1F0D">
      <w:pPr>
        <w:autoSpaceDE w:val="0"/>
        <w:autoSpaceDN w:val="0"/>
        <w:adjustRightInd w:val="0"/>
        <w:spacing w:after="0"/>
        <w:ind w:left="709" w:hanging="425"/>
        <w:rPr>
          <w:rFonts w:ascii="Arial" w:hAnsi="Arial"/>
          <w:sz w:val="20"/>
          <w:szCs w:val="20"/>
        </w:rPr>
      </w:pPr>
      <w:r w:rsidRPr="00A8288F">
        <w:rPr>
          <w:rFonts w:ascii="Arial" w:hAnsi="Arial"/>
          <w:sz w:val="20"/>
          <w:szCs w:val="20"/>
        </w:rPr>
        <w:t xml:space="preserve">(a) </w:t>
      </w:r>
      <w:r w:rsidRPr="00A8288F">
        <w:rPr>
          <w:rFonts w:ascii="Arial" w:hAnsi="Arial"/>
          <w:sz w:val="20"/>
          <w:szCs w:val="20"/>
        </w:rPr>
        <w:tab/>
        <w:t>for a registered health practitioner or an applicant for registration in a health profession, the person’s capacity</w:t>
      </w:r>
      <w:r>
        <w:rPr>
          <w:rFonts w:ascii="Arial" w:hAnsi="Arial"/>
          <w:sz w:val="20"/>
          <w:szCs w:val="20"/>
        </w:rPr>
        <w:t xml:space="preserve"> </w:t>
      </w:r>
      <w:r w:rsidRPr="00A8288F">
        <w:rPr>
          <w:rFonts w:ascii="Arial" w:hAnsi="Arial"/>
          <w:sz w:val="20"/>
          <w:szCs w:val="20"/>
        </w:rPr>
        <w:t>to practise the profession; or</w:t>
      </w:r>
    </w:p>
    <w:p w:rsidR="00900921" w:rsidRPr="00A8288F" w:rsidRDefault="00900921" w:rsidP="006B1F0D">
      <w:pPr>
        <w:autoSpaceDE w:val="0"/>
        <w:autoSpaceDN w:val="0"/>
        <w:adjustRightInd w:val="0"/>
        <w:spacing w:after="0"/>
        <w:ind w:left="284" w:hanging="1134"/>
        <w:rPr>
          <w:rFonts w:ascii="Arial" w:hAnsi="Arial"/>
          <w:sz w:val="20"/>
          <w:szCs w:val="20"/>
        </w:rPr>
      </w:pPr>
      <w:r>
        <w:rPr>
          <w:rFonts w:ascii="Arial" w:hAnsi="Arial"/>
          <w:sz w:val="20"/>
          <w:szCs w:val="20"/>
        </w:rPr>
        <w:tab/>
      </w:r>
      <w:r w:rsidRPr="00A8288F">
        <w:rPr>
          <w:rFonts w:ascii="Arial" w:hAnsi="Arial"/>
          <w:sz w:val="20"/>
          <w:szCs w:val="20"/>
        </w:rPr>
        <w:t xml:space="preserve">(b) </w:t>
      </w:r>
      <w:r>
        <w:rPr>
          <w:rFonts w:ascii="Arial" w:hAnsi="Arial"/>
          <w:sz w:val="20"/>
          <w:szCs w:val="20"/>
        </w:rPr>
        <w:tab/>
      </w:r>
      <w:proofErr w:type="gramStart"/>
      <w:r w:rsidRPr="00A8288F">
        <w:rPr>
          <w:rFonts w:ascii="Arial" w:hAnsi="Arial"/>
          <w:sz w:val="20"/>
          <w:szCs w:val="20"/>
        </w:rPr>
        <w:t>for</w:t>
      </w:r>
      <w:proofErr w:type="gramEnd"/>
      <w:r w:rsidRPr="00A8288F">
        <w:rPr>
          <w:rFonts w:ascii="Arial" w:hAnsi="Arial"/>
          <w:sz w:val="20"/>
          <w:szCs w:val="20"/>
        </w:rPr>
        <w:t xml:space="preserve"> a student, the student’s capacity to undertake clinical</w:t>
      </w:r>
      <w:r>
        <w:rPr>
          <w:rFonts w:ascii="Arial" w:hAnsi="Arial"/>
          <w:sz w:val="20"/>
          <w:szCs w:val="20"/>
        </w:rPr>
        <w:t xml:space="preserve"> </w:t>
      </w:r>
      <w:r>
        <w:rPr>
          <w:rFonts w:ascii="Arial" w:hAnsi="Arial"/>
          <w:sz w:val="20"/>
          <w:szCs w:val="20"/>
        </w:rPr>
        <w:tab/>
      </w:r>
      <w:r w:rsidRPr="00A8288F">
        <w:rPr>
          <w:rFonts w:ascii="Arial" w:hAnsi="Arial"/>
          <w:sz w:val="20"/>
          <w:szCs w:val="20"/>
        </w:rPr>
        <w:t>training—</w:t>
      </w:r>
    </w:p>
    <w:p w:rsidR="00900921" w:rsidRPr="00A8288F" w:rsidRDefault="006B1F0D" w:rsidP="00900921">
      <w:pPr>
        <w:autoSpaceDE w:val="0"/>
        <w:autoSpaceDN w:val="0"/>
        <w:adjustRightInd w:val="0"/>
        <w:spacing w:after="0"/>
        <w:rPr>
          <w:rFonts w:ascii="Arial" w:hAnsi="Arial"/>
          <w:sz w:val="20"/>
          <w:szCs w:val="20"/>
        </w:rPr>
      </w:pPr>
      <w:r>
        <w:rPr>
          <w:rFonts w:ascii="Arial" w:hAnsi="Arial"/>
          <w:sz w:val="20"/>
          <w:szCs w:val="20"/>
        </w:rPr>
        <w:tab/>
      </w:r>
      <w:r w:rsidR="00900921" w:rsidRPr="00A8288F">
        <w:rPr>
          <w:rFonts w:ascii="Arial" w:hAnsi="Arial"/>
          <w:sz w:val="20"/>
          <w:szCs w:val="20"/>
        </w:rPr>
        <w:t>(</w:t>
      </w:r>
      <w:proofErr w:type="spellStart"/>
      <w:r w:rsidR="00900921" w:rsidRPr="00A8288F">
        <w:rPr>
          <w:rFonts w:ascii="Arial" w:hAnsi="Arial"/>
          <w:sz w:val="20"/>
          <w:szCs w:val="20"/>
        </w:rPr>
        <w:t>i</w:t>
      </w:r>
      <w:proofErr w:type="spellEnd"/>
      <w:r w:rsidR="00900921" w:rsidRPr="00A8288F">
        <w:rPr>
          <w:rFonts w:ascii="Arial" w:hAnsi="Arial"/>
          <w:sz w:val="20"/>
          <w:szCs w:val="20"/>
        </w:rPr>
        <w:t xml:space="preserve">) </w:t>
      </w:r>
      <w:r w:rsidR="00900921">
        <w:rPr>
          <w:rFonts w:ascii="Arial" w:hAnsi="Arial"/>
          <w:sz w:val="20"/>
          <w:szCs w:val="20"/>
        </w:rPr>
        <w:tab/>
      </w:r>
      <w:proofErr w:type="gramStart"/>
      <w:r w:rsidR="00900921" w:rsidRPr="00A8288F">
        <w:rPr>
          <w:rFonts w:ascii="Arial" w:hAnsi="Arial"/>
          <w:sz w:val="20"/>
          <w:szCs w:val="20"/>
        </w:rPr>
        <w:t>as</w:t>
      </w:r>
      <w:proofErr w:type="gramEnd"/>
      <w:r w:rsidR="00900921" w:rsidRPr="00A8288F">
        <w:rPr>
          <w:rFonts w:ascii="Arial" w:hAnsi="Arial"/>
          <w:sz w:val="20"/>
          <w:szCs w:val="20"/>
        </w:rPr>
        <w:t xml:space="preserve"> part of the approved program of study in which</w:t>
      </w:r>
      <w:r w:rsidR="00900921">
        <w:rPr>
          <w:rFonts w:ascii="Arial" w:hAnsi="Arial"/>
          <w:sz w:val="20"/>
          <w:szCs w:val="20"/>
        </w:rPr>
        <w:t xml:space="preserve"> </w:t>
      </w:r>
      <w:r w:rsidR="00900921" w:rsidRPr="00A8288F">
        <w:rPr>
          <w:rFonts w:ascii="Arial" w:hAnsi="Arial"/>
          <w:sz w:val="20"/>
          <w:szCs w:val="20"/>
        </w:rPr>
        <w:t>the student is</w:t>
      </w:r>
      <w:r w:rsidR="00900921">
        <w:rPr>
          <w:rFonts w:ascii="Arial" w:hAnsi="Arial"/>
          <w:sz w:val="20"/>
          <w:szCs w:val="20"/>
        </w:rPr>
        <w:t xml:space="preserve"> </w:t>
      </w:r>
      <w:r w:rsidR="00900921" w:rsidRPr="00A8288F">
        <w:rPr>
          <w:rFonts w:ascii="Arial" w:hAnsi="Arial"/>
          <w:sz w:val="20"/>
          <w:szCs w:val="20"/>
        </w:rPr>
        <w:t>enrolled; or</w:t>
      </w:r>
    </w:p>
    <w:p w:rsidR="00900921" w:rsidRDefault="006B1F0D" w:rsidP="00900921">
      <w:pPr>
        <w:pStyle w:val="NormalWeb"/>
        <w:spacing w:before="2" w:after="2"/>
        <w:rPr>
          <w:rFonts w:ascii="Arial" w:hAnsi="Arial"/>
        </w:rPr>
      </w:pPr>
      <w:r>
        <w:rPr>
          <w:rFonts w:ascii="Arial" w:hAnsi="Arial"/>
        </w:rPr>
        <w:tab/>
      </w:r>
      <w:r w:rsidR="00900921" w:rsidRPr="00A8288F">
        <w:rPr>
          <w:rFonts w:ascii="Arial" w:hAnsi="Arial"/>
        </w:rPr>
        <w:t xml:space="preserve">(ii) </w:t>
      </w:r>
      <w:r w:rsidR="00900921">
        <w:rPr>
          <w:rFonts w:ascii="Arial" w:hAnsi="Arial"/>
        </w:rPr>
        <w:tab/>
      </w:r>
      <w:proofErr w:type="gramStart"/>
      <w:r w:rsidR="00900921" w:rsidRPr="00A8288F">
        <w:rPr>
          <w:rFonts w:ascii="Arial" w:hAnsi="Arial"/>
        </w:rPr>
        <w:t>arranged</w:t>
      </w:r>
      <w:proofErr w:type="gramEnd"/>
      <w:r w:rsidR="00900921" w:rsidRPr="00A8288F">
        <w:rPr>
          <w:rFonts w:ascii="Arial" w:hAnsi="Arial"/>
        </w:rPr>
        <w:t xml:space="preserve"> by an education provider.</w:t>
      </w:r>
    </w:p>
    <w:p w:rsidR="00900921" w:rsidRDefault="00FB4969" w:rsidP="00900921">
      <w:pPr>
        <w:pStyle w:val="AHPRASubheading"/>
        <w:rPr>
          <w:lang w:val="en-AU"/>
        </w:rPr>
      </w:pPr>
      <w:r>
        <w:rPr>
          <w:lang w:val="en-AU"/>
        </w:rPr>
        <w:t>Acronyms</w:t>
      </w:r>
    </w:p>
    <w:p w:rsidR="00E36229" w:rsidRDefault="00900921" w:rsidP="00D05D1A">
      <w:pPr>
        <w:spacing w:beforeLines="1" w:afterLines="1"/>
        <w:rPr>
          <w:rFonts w:ascii="Arial" w:hAnsi="Arial"/>
          <w:sz w:val="20"/>
          <w:szCs w:val="20"/>
        </w:rPr>
      </w:pPr>
      <w:r w:rsidRPr="00206BA1">
        <w:rPr>
          <w:rFonts w:ascii="Arial" w:hAnsi="Arial"/>
          <w:sz w:val="20"/>
          <w:szCs w:val="20"/>
        </w:rPr>
        <w:t xml:space="preserve">CDNA </w:t>
      </w:r>
      <w:r w:rsidRPr="00206BA1">
        <w:rPr>
          <w:rFonts w:ascii="Arial" w:hAnsi="Arial"/>
          <w:sz w:val="20"/>
          <w:szCs w:val="20"/>
        </w:rPr>
        <w:tab/>
      </w:r>
      <w:r>
        <w:rPr>
          <w:rFonts w:ascii="Arial" w:hAnsi="Arial"/>
          <w:sz w:val="20"/>
          <w:szCs w:val="20"/>
        </w:rPr>
        <w:tab/>
      </w:r>
      <w:r w:rsidRPr="00206BA1">
        <w:rPr>
          <w:rFonts w:ascii="Arial" w:hAnsi="Arial"/>
          <w:sz w:val="20"/>
          <w:szCs w:val="20"/>
        </w:rPr>
        <w:t>Communicable Diseases Network Australia</w:t>
      </w:r>
      <w:r w:rsidRPr="00206BA1">
        <w:rPr>
          <w:rFonts w:ascii="Arial" w:hAnsi="Arial"/>
          <w:sz w:val="20"/>
          <w:szCs w:val="20"/>
        </w:rPr>
        <w:br/>
        <w:t xml:space="preserve">HBV </w:t>
      </w:r>
      <w:r w:rsidRPr="00206BA1">
        <w:rPr>
          <w:rFonts w:ascii="Arial" w:hAnsi="Arial"/>
          <w:sz w:val="20"/>
          <w:szCs w:val="20"/>
        </w:rPr>
        <w:tab/>
      </w:r>
      <w:r w:rsidRPr="00206BA1">
        <w:rPr>
          <w:rFonts w:ascii="Arial" w:hAnsi="Arial"/>
          <w:sz w:val="20"/>
          <w:szCs w:val="20"/>
        </w:rPr>
        <w:tab/>
        <w:t>Hepatitis B virus</w:t>
      </w:r>
      <w:r w:rsidRPr="00206BA1">
        <w:rPr>
          <w:rFonts w:ascii="Arial" w:hAnsi="Arial"/>
          <w:sz w:val="20"/>
          <w:szCs w:val="20"/>
        </w:rPr>
        <w:br/>
        <w:t xml:space="preserve">HCV </w:t>
      </w:r>
      <w:r w:rsidRPr="00206BA1">
        <w:rPr>
          <w:rFonts w:ascii="Arial" w:hAnsi="Arial"/>
          <w:sz w:val="20"/>
          <w:szCs w:val="20"/>
        </w:rPr>
        <w:tab/>
      </w:r>
      <w:r w:rsidRPr="00206BA1">
        <w:rPr>
          <w:rFonts w:ascii="Arial" w:hAnsi="Arial"/>
          <w:sz w:val="20"/>
          <w:szCs w:val="20"/>
        </w:rPr>
        <w:tab/>
        <w:t>Hepatitis C virus</w:t>
      </w:r>
      <w:r w:rsidRPr="00206BA1">
        <w:rPr>
          <w:rFonts w:ascii="Arial" w:hAnsi="Arial"/>
          <w:sz w:val="20"/>
          <w:szCs w:val="20"/>
        </w:rPr>
        <w:br/>
        <w:t xml:space="preserve">HIV </w:t>
      </w:r>
      <w:r w:rsidRPr="00206BA1">
        <w:rPr>
          <w:rFonts w:ascii="Arial" w:hAnsi="Arial"/>
          <w:sz w:val="20"/>
          <w:szCs w:val="20"/>
        </w:rPr>
        <w:tab/>
      </w:r>
      <w:r w:rsidRPr="00206BA1">
        <w:rPr>
          <w:rFonts w:ascii="Arial" w:hAnsi="Arial"/>
          <w:sz w:val="20"/>
          <w:szCs w:val="20"/>
        </w:rPr>
        <w:tab/>
        <w:t xml:space="preserve">Human immunodeficiency virus </w:t>
      </w:r>
      <w:r w:rsidRPr="00206BA1">
        <w:rPr>
          <w:rFonts w:ascii="Arial" w:hAnsi="Arial"/>
          <w:sz w:val="20"/>
          <w:szCs w:val="20"/>
        </w:rPr>
        <w:tab/>
      </w:r>
    </w:p>
    <w:p w:rsidR="00900921" w:rsidRDefault="00900921" w:rsidP="00900921">
      <w:pPr>
        <w:pStyle w:val="AHPRASubheading"/>
      </w:pPr>
      <w:r w:rsidRPr="00A8288F">
        <w:t>Extract</w:t>
      </w:r>
      <w:r>
        <w:t xml:space="preserve">s </w:t>
      </w:r>
      <w:r w:rsidRPr="00A8288F">
        <w:t>of the National Law</w:t>
      </w:r>
      <w:r>
        <w:t xml:space="preserve"> </w:t>
      </w:r>
    </w:p>
    <w:p w:rsidR="00900921" w:rsidRPr="00EC62EC" w:rsidRDefault="00900921" w:rsidP="006B1F0D">
      <w:pPr>
        <w:pStyle w:val="AHPRASubheadinglevel2"/>
        <w:spacing w:after="120"/>
      </w:pPr>
      <w:r w:rsidRPr="00EC62EC">
        <w:t xml:space="preserve">140 </w:t>
      </w:r>
      <w:r w:rsidRPr="00EC62EC">
        <w:tab/>
        <w:t xml:space="preserve">Definition of </w:t>
      </w:r>
      <w:proofErr w:type="spellStart"/>
      <w:r w:rsidRPr="00EC62EC">
        <w:t>notifiable</w:t>
      </w:r>
      <w:proofErr w:type="spellEnd"/>
      <w:r w:rsidRPr="00EC62EC">
        <w:t xml:space="preserve"> conduct</w:t>
      </w:r>
    </w:p>
    <w:p w:rsidR="00900921" w:rsidRPr="00EC62EC" w:rsidRDefault="00900921" w:rsidP="00900921">
      <w:pPr>
        <w:autoSpaceDE w:val="0"/>
        <w:autoSpaceDN w:val="0"/>
        <w:adjustRightInd w:val="0"/>
        <w:spacing w:after="0"/>
        <w:rPr>
          <w:rFonts w:ascii="Arial" w:hAnsi="Arial"/>
          <w:sz w:val="20"/>
          <w:szCs w:val="20"/>
        </w:rPr>
      </w:pPr>
      <w:r>
        <w:rPr>
          <w:rFonts w:ascii="Arial" w:hAnsi="Arial"/>
          <w:sz w:val="20"/>
          <w:szCs w:val="20"/>
        </w:rPr>
        <w:tab/>
      </w:r>
      <w:r w:rsidRPr="00EC62EC">
        <w:rPr>
          <w:rFonts w:ascii="Arial" w:hAnsi="Arial"/>
          <w:sz w:val="20"/>
          <w:szCs w:val="20"/>
        </w:rPr>
        <w:t>In this Division—</w:t>
      </w:r>
    </w:p>
    <w:p w:rsidR="00900921" w:rsidRPr="00EC62EC" w:rsidRDefault="00900921" w:rsidP="00900921">
      <w:pPr>
        <w:autoSpaceDE w:val="0"/>
        <w:autoSpaceDN w:val="0"/>
        <w:adjustRightInd w:val="0"/>
        <w:spacing w:after="0"/>
        <w:rPr>
          <w:rFonts w:ascii="Arial" w:hAnsi="Arial"/>
          <w:sz w:val="20"/>
          <w:szCs w:val="20"/>
        </w:rPr>
      </w:pPr>
      <w:r>
        <w:rPr>
          <w:rFonts w:ascii="Arial" w:hAnsi="Arial"/>
          <w:sz w:val="20"/>
          <w:szCs w:val="20"/>
        </w:rPr>
        <w:tab/>
      </w:r>
      <w:proofErr w:type="spellStart"/>
      <w:proofErr w:type="gramStart"/>
      <w:r w:rsidRPr="00206BA1">
        <w:rPr>
          <w:rFonts w:ascii="Arial" w:hAnsi="Arial"/>
          <w:b/>
          <w:sz w:val="20"/>
          <w:szCs w:val="20"/>
        </w:rPr>
        <w:t>notifiable</w:t>
      </w:r>
      <w:proofErr w:type="spellEnd"/>
      <w:proofErr w:type="gramEnd"/>
      <w:r w:rsidRPr="00206BA1">
        <w:rPr>
          <w:rFonts w:ascii="Arial" w:hAnsi="Arial"/>
          <w:b/>
          <w:sz w:val="20"/>
          <w:szCs w:val="20"/>
        </w:rPr>
        <w:t xml:space="preserve"> conduct,</w:t>
      </w:r>
      <w:r w:rsidRPr="00EC62EC">
        <w:rPr>
          <w:rFonts w:ascii="Arial" w:hAnsi="Arial"/>
          <w:sz w:val="20"/>
          <w:szCs w:val="20"/>
        </w:rPr>
        <w:t xml:space="preserve"> in relation to a registered health</w:t>
      </w:r>
      <w:r>
        <w:rPr>
          <w:rFonts w:ascii="Arial" w:hAnsi="Arial"/>
          <w:sz w:val="20"/>
          <w:szCs w:val="20"/>
        </w:rPr>
        <w:t xml:space="preserve"> </w:t>
      </w:r>
      <w:r w:rsidRPr="00EC62EC">
        <w:rPr>
          <w:rFonts w:ascii="Arial" w:hAnsi="Arial"/>
          <w:sz w:val="20"/>
          <w:szCs w:val="20"/>
        </w:rPr>
        <w:t>practitioner, means the practitioner has—</w:t>
      </w:r>
    </w:p>
    <w:p w:rsidR="0030647E" w:rsidRDefault="00900921">
      <w:pPr>
        <w:pStyle w:val="ListParagraph"/>
        <w:numPr>
          <w:ilvl w:val="3"/>
          <w:numId w:val="4"/>
        </w:numPr>
        <w:autoSpaceDE w:val="0"/>
        <w:autoSpaceDN w:val="0"/>
        <w:adjustRightInd w:val="0"/>
        <w:spacing w:after="0" w:line="240" w:lineRule="auto"/>
        <w:ind w:left="1418" w:hanging="709"/>
        <w:contextualSpacing w:val="0"/>
        <w:rPr>
          <w:rFonts w:ascii="Arial" w:eastAsiaTheme="minorHAnsi" w:hAnsi="Arial"/>
          <w:sz w:val="20"/>
          <w:szCs w:val="20"/>
        </w:rPr>
      </w:pPr>
      <w:r w:rsidRPr="00206BA1">
        <w:rPr>
          <w:rFonts w:ascii="Arial" w:hAnsi="Arial"/>
          <w:sz w:val="20"/>
          <w:szCs w:val="20"/>
        </w:rPr>
        <w:t xml:space="preserve">practised the practitioner’s profession while intoxicated </w:t>
      </w:r>
      <w:r w:rsidRPr="00206BA1">
        <w:rPr>
          <w:rFonts w:ascii="Arial" w:eastAsiaTheme="minorHAnsi" w:hAnsi="Arial"/>
          <w:sz w:val="20"/>
          <w:szCs w:val="20"/>
        </w:rPr>
        <w:t>by alcohol or drugs; or</w:t>
      </w:r>
    </w:p>
    <w:p w:rsidR="0030647E" w:rsidRDefault="00900921">
      <w:pPr>
        <w:pStyle w:val="ListParagraph"/>
        <w:numPr>
          <w:ilvl w:val="3"/>
          <w:numId w:val="4"/>
        </w:numPr>
        <w:autoSpaceDE w:val="0"/>
        <w:autoSpaceDN w:val="0"/>
        <w:adjustRightInd w:val="0"/>
        <w:spacing w:after="0" w:line="240" w:lineRule="auto"/>
        <w:ind w:left="1418" w:hanging="709"/>
        <w:contextualSpacing w:val="0"/>
        <w:rPr>
          <w:rFonts w:ascii="Arial" w:eastAsiaTheme="minorHAnsi" w:hAnsi="Arial"/>
          <w:sz w:val="20"/>
          <w:szCs w:val="20"/>
        </w:rPr>
      </w:pPr>
      <w:r w:rsidRPr="00206BA1">
        <w:rPr>
          <w:rFonts w:ascii="Arial" w:eastAsiaTheme="minorHAnsi" w:hAnsi="Arial"/>
          <w:sz w:val="20"/>
          <w:szCs w:val="20"/>
        </w:rPr>
        <w:t>engaged in sexual misconduct in connection with the practice of the practitioner’s profession; or</w:t>
      </w:r>
    </w:p>
    <w:p w:rsidR="0030647E" w:rsidRDefault="00900921">
      <w:pPr>
        <w:pStyle w:val="ListParagraph"/>
        <w:numPr>
          <w:ilvl w:val="3"/>
          <w:numId w:val="4"/>
        </w:numPr>
        <w:autoSpaceDE w:val="0"/>
        <w:autoSpaceDN w:val="0"/>
        <w:adjustRightInd w:val="0"/>
        <w:spacing w:after="0" w:line="240" w:lineRule="auto"/>
        <w:ind w:left="1418" w:hanging="709"/>
        <w:contextualSpacing w:val="0"/>
        <w:rPr>
          <w:rFonts w:ascii="Arial" w:eastAsiaTheme="minorHAnsi" w:hAnsi="Arial"/>
          <w:sz w:val="20"/>
          <w:szCs w:val="20"/>
        </w:rPr>
      </w:pPr>
      <w:r w:rsidRPr="00206BA1">
        <w:rPr>
          <w:rFonts w:ascii="Arial" w:eastAsiaTheme="minorHAnsi" w:hAnsi="Arial"/>
          <w:sz w:val="20"/>
          <w:szCs w:val="20"/>
        </w:rPr>
        <w:t>placed the public at risk of substantial harm in the practitioner’s practice of the profession because the practitioner has an impairment; or</w:t>
      </w:r>
    </w:p>
    <w:p w:rsidR="0030647E" w:rsidRDefault="00900921">
      <w:pPr>
        <w:pStyle w:val="ListParagraph"/>
        <w:numPr>
          <w:ilvl w:val="3"/>
          <w:numId w:val="4"/>
        </w:numPr>
        <w:autoSpaceDE w:val="0"/>
        <w:autoSpaceDN w:val="0"/>
        <w:adjustRightInd w:val="0"/>
        <w:spacing w:before="2" w:after="2" w:line="240" w:lineRule="auto"/>
        <w:ind w:left="1418" w:hanging="709"/>
        <w:contextualSpacing w:val="0"/>
        <w:rPr>
          <w:rFonts w:ascii="Arial" w:eastAsiaTheme="minorHAnsi" w:hAnsi="Arial"/>
          <w:sz w:val="20"/>
          <w:szCs w:val="20"/>
        </w:rPr>
      </w:pPr>
      <w:proofErr w:type="gramStart"/>
      <w:r w:rsidRPr="00206BA1">
        <w:rPr>
          <w:rFonts w:ascii="Arial" w:eastAsiaTheme="minorHAnsi" w:hAnsi="Arial"/>
          <w:sz w:val="20"/>
          <w:szCs w:val="20"/>
        </w:rPr>
        <w:t>placed</w:t>
      </w:r>
      <w:proofErr w:type="gramEnd"/>
      <w:r w:rsidRPr="00206BA1">
        <w:rPr>
          <w:rFonts w:ascii="Arial" w:eastAsiaTheme="minorHAnsi" w:hAnsi="Arial"/>
          <w:sz w:val="20"/>
          <w:szCs w:val="20"/>
        </w:rPr>
        <w:t xml:space="preserve"> the public at risk of harm because the practitioner has practised the profession in a way that constitutes a significant departure from accepted professional standards.</w:t>
      </w:r>
    </w:p>
    <w:p w:rsidR="00900921" w:rsidRDefault="00900921" w:rsidP="00900921">
      <w:pPr>
        <w:pStyle w:val="AHPRASubheadinglevel2"/>
      </w:pPr>
      <w:r w:rsidRPr="00206BA1">
        <w:t>176</w:t>
      </w:r>
      <w:r>
        <w:tab/>
      </w:r>
      <w:r w:rsidRPr="00B52947">
        <w:t>Copy of report to be given to health practitioner or</w:t>
      </w:r>
      <w:r>
        <w:t xml:space="preserve"> </w:t>
      </w:r>
      <w:r w:rsidRPr="00B52947">
        <w:t>student</w:t>
      </w:r>
    </w:p>
    <w:p w:rsidR="00900921" w:rsidRPr="005A62DB" w:rsidRDefault="00900921" w:rsidP="00900921">
      <w:pPr>
        <w:pStyle w:val="NormalWeb"/>
        <w:spacing w:before="2" w:after="2"/>
        <w:ind w:left="1418" w:hanging="709"/>
        <w:rPr>
          <w:rFonts w:ascii="Arial" w:hAnsi="Arial"/>
        </w:rPr>
      </w:pPr>
      <w:r w:rsidRPr="005A62DB">
        <w:rPr>
          <w:rFonts w:ascii="Helvetica-Bold" w:eastAsia="Cambria" w:hAnsi="Helvetica-Bold" w:cs="Helvetica-Bold"/>
          <w:bCs/>
        </w:rPr>
        <w:t>(1)</w:t>
      </w:r>
      <w:r>
        <w:rPr>
          <w:rFonts w:ascii="Helvetica-Bold" w:eastAsia="Cambria" w:hAnsi="Helvetica-Bold" w:cs="Helvetica-Bold"/>
          <w:b/>
          <w:bCs/>
        </w:rPr>
        <w:tab/>
      </w:r>
      <w:r w:rsidRPr="005A62DB">
        <w:rPr>
          <w:rFonts w:ascii="Arial" w:hAnsi="Arial"/>
        </w:rPr>
        <w:t>The National Board must, as soon as practicable after</w:t>
      </w:r>
      <w:r>
        <w:rPr>
          <w:rFonts w:ascii="Arial" w:hAnsi="Arial"/>
        </w:rPr>
        <w:t xml:space="preserve"> </w:t>
      </w:r>
      <w:r w:rsidRPr="005A62DB">
        <w:rPr>
          <w:rFonts w:ascii="Arial" w:hAnsi="Arial"/>
        </w:rPr>
        <w:t>receiving the</w:t>
      </w:r>
      <w:r>
        <w:rPr>
          <w:rFonts w:ascii="Arial" w:hAnsi="Arial"/>
        </w:rPr>
        <w:t xml:space="preserve"> </w:t>
      </w:r>
      <w:r>
        <w:rPr>
          <w:rFonts w:ascii="Arial" w:hAnsi="Arial"/>
        </w:rPr>
        <w:tab/>
      </w:r>
      <w:r>
        <w:rPr>
          <w:rFonts w:ascii="Arial" w:hAnsi="Arial"/>
        </w:rPr>
        <w:tab/>
      </w:r>
      <w:r>
        <w:rPr>
          <w:rFonts w:ascii="Arial" w:hAnsi="Arial"/>
        </w:rPr>
        <w:tab/>
      </w:r>
      <w:r w:rsidRPr="005A62DB">
        <w:rPr>
          <w:rFonts w:ascii="Arial" w:hAnsi="Arial"/>
        </w:rPr>
        <w:t>assessor’s report, give a copy of the report to—</w:t>
      </w:r>
    </w:p>
    <w:p w:rsidR="00900921" w:rsidRPr="005A62DB" w:rsidRDefault="00900921" w:rsidP="00900921">
      <w:pPr>
        <w:autoSpaceDE w:val="0"/>
        <w:autoSpaceDN w:val="0"/>
        <w:adjustRightInd w:val="0"/>
        <w:spacing w:after="0"/>
        <w:ind w:left="1985" w:hanging="567"/>
        <w:rPr>
          <w:rFonts w:ascii="Arial" w:hAnsi="Arial"/>
          <w:sz w:val="20"/>
          <w:szCs w:val="20"/>
        </w:rPr>
      </w:pPr>
      <w:r w:rsidRPr="005A62DB">
        <w:rPr>
          <w:rFonts w:ascii="Arial" w:hAnsi="Arial"/>
          <w:sz w:val="20"/>
          <w:szCs w:val="20"/>
        </w:rPr>
        <w:t xml:space="preserve">(a) </w:t>
      </w:r>
      <w:r>
        <w:rPr>
          <w:rFonts w:ascii="Arial" w:hAnsi="Arial"/>
          <w:sz w:val="20"/>
          <w:szCs w:val="20"/>
        </w:rPr>
        <w:tab/>
      </w:r>
      <w:proofErr w:type="gramStart"/>
      <w:r w:rsidRPr="005A62DB">
        <w:rPr>
          <w:rFonts w:ascii="Arial" w:hAnsi="Arial"/>
          <w:sz w:val="20"/>
          <w:szCs w:val="20"/>
        </w:rPr>
        <w:t>the</w:t>
      </w:r>
      <w:proofErr w:type="gramEnd"/>
      <w:r w:rsidRPr="005A62DB">
        <w:rPr>
          <w:rFonts w:ascii="Arial" w:hAnsi="Arial"/>
          <w:sz w:val="20"/>
          <w:szCs w:val="20"/>
        </w:rPr>
        <w:t xml:space="preserve"> registered health practitioner or student to whom it</w:t>
      </w:r>
      <w:r>
        <w:rPr>
          <w:rFonts w:ascii="Arial" w:hAnsi="Arial"/>
          <w:sz w:val="20"/>
          <w:szCs w:val="20"/>
        </w:rPr>
        <w:t xml:space="preserve"> </w:t>
      </w:r>
      <w:r w:rsidRPr="005A62DB">
        <w:rPr>
          <w:rFonts w:ascii="Arial" w:hAnsi="Arial"/>
          <w:sz w:val="20"/>
          <w:szCs w:val="20"/>
        </w:rPr>
        <w:t>relates; or</w:t>
      </w:r>
    </w:p>
    <w:p w:rsidR="00900921" w:rsidRPr="005A62DB" w:rsidRDefault="00900921" w:rsidP="00900921">
      <w:pPr>
        <w:autoSpaceDE w:val="0"/>
        <w:autoSpaceDN w:val="0"/>
        <w:adjustRightInd w:val="0"/>
        <w:spacing w:after="0"/>
        <w:ind w:left="1985" w:hanging="567"/>
        <w:rPr>
          <w:rFonts w:ascii="Arial" w:hAnsi="Arial"/>
          <w:sz w:val="20"/>
          <w:szCs w:val="20"/>
        </w:rPr>
      </w:pPr>
      <w:r w:rsidRPr="005A62DB">
        <w:rPr>
          <w:rFonts w:ascii="Arial" w:hAnsi="Arial"/>
          <w:sz w:val="20"/>
          <w:szCs w:val="20"/>
        </w:rPr>
        <w:t xml:space="preserve">(b) </w:t>
      </w:r>
      <w:r>
        <w:rPr>
          <w:rFonts w:ascii="Arial" w:hAnsi="Arial"/>
          <w:sz w:val="20"/>
          <w:szCs w:val="20"/>
        </w:rPr>
        <w:tab/>
      </w:r>
      <w:proofErr w:type="gramStart"/>
      <w:r w:rsidRPr="005A62DB">
        <w:rPr>
          <w:rFonts w:ascii="Arial" w:hAnsi="Arial"/>
          <w:sz w:val="20"/>
          <w:szCs w:val="20"/>
        </w:rPr>
        <w:t>if</w:t>
      </w:r>
      <w:proofErr w:type="gramEnd"/>
      <w:r w:rsidRPr="005A62DB">
        <w:rPr>
          <w:rFonts w:ascii="Arial" w:hAnsi="Arial"/>
          <w:sz w:val="20"/>
          <w:szCs w:val="20"/>
        </w:rPr>
        <w:t xml:space="preserve"> the report contains information the Board considers</w:t>
      </w:r>
      <w:r>
        <w:rPr>
          <w:rFonts w:ascii="Arial" w:hAnsi="Arial"/>
          <w:sz w:val="20"/>
          <w:szCs w:val="20"/>
        </w:rPr>
        <w:t xml:space="preserve"> </w:t>
      </w:r>
      <w:r w:rsidRPr="005A62DB">
        <w:rPr>
          <w:rFonts w:ascii="Arial" w:hAnsi="Arial"/>
          <w:sz w:val="20"/>
          <w:szCs w:val="20"/>
        </w:rPr>
        <w:t>may, if disclosed to the practitioner or student, be</w:t>
      </w:r>
      <w:r>
        <w:rPr>
          <w:rFonts w:ascii="Arial" w:hAnsi="Arial"/>
          <w:sz w:val="20"/>
          <w:szCs w:val="20"/>
        </w:rPr>
        <w:t xml:space="preserve"> </w:t>
      </w:r>
      <w:r w:rsidRPr="005A62DB">
        <w:rPr>
          <w:rFonts w:ascii="Arial" w:hAnsi="Arial"/>
          <w:sz w:val="20"/>
          <w:szCs w:val="20"/>
        </w:rPr>
        <w:t>prejudicial to the practitioner’s or student’s physical or</w:t>
      </w:r>
      <w:r>
        <w:rPr>
          <w:rFonts w:ascii="Arial" w:hAnsi="Arial"/>
          <w:sz w:val="20"/>
          <w:szCs w:val="20"/>
        </w:rPr>
        <w:t xml:space="preserve"> </w:t>
      </w:r>
      <w:r w:rsidRPr="005A62DB">
        <w:rPr>
          <w:rFonts w:ascii="Arial" w:hAnsi="Arial"/>
          <w:sz w:val="20"/>
          <w:szCs w:val="20"/>
        </w:rPr>
        <w:t>mental health or wellbeing, to a medical practitioner or</w:t>
      </w:r>
      <w:r>
        <w:rPr>
          <w:rFonts w:ascii="Arial" w:hAnsi="Arial"/>
          <w:sz w:val="20"/>
          <w:szCs w:val="20"/>
        </w:rPr>
        <w:t xml:space="preserve"> </w:t>
      </w:r>
      <w:r w:rsidRPr="005A62DB">
        <w:rPr>
          <w:rFonts w:ascii="Arial" w:hAnsi="Arial"/>
          <w:sz w:val="20"/>
          <w:szCs w:val="20"/>
        </w:rPr>
        <w:t xml:space="preserve">psychologist nominated by the practitioner or </w:t>
      </w:r>
      <w:r>
        <w:rPr>
          <w:rFonts w:ascii="Arial" w:hAnsi="Arial"/>
          <w:sz w:val="20"/>
          <w:szCs w:val="20"/>
        </w:rPr>
        <w:tab/>
      </w:r>
      <w:r w:rsidRPr="005A62DB">
        <w:rPr>
          <w:rFonts w:ascii="Arial" w:hAnsi="Arial"/>
          <w:sz w:val="20"/>
          <w:szCs w:val="20"/>
        </w:rPr>
        <w:t>student.</w:t>
      </w:r>
    </w:p>
    <w:p w:rsidR="00900921" w:rsidRPr="005A62DB" w:rsidRDefault="00900921" w:rsidP="00900921">
      <w:pPr>
        <w:autoSpaceDE w:val="0"/>
        <w:autoSpaceDN w:val="0"/>
        <w:adjustRightInd w:val="0"/>
        <w:spacing w:after="0"/>
        <w:ind w:left="1418" w:hanging="709"/>
        <w:rPr>
          <w:rFonts w:ascii="Arial" w:hAnsi="Arial"/>
          <w:sz w:val="20"/>
          <w:szCs w:val="20"/>
        </w:rPr>
      </w:pPr>
      <w:r w:rsidRPr="005A62DB">
        <w:rPr>
          <w:rFonts w:ascii="Arial" w:hAnsi="Arial"/>
          <w:sz w:val="20"/>
          <w:szCs w:val="20"/>
        </w:rPr>
        <w:t xml:space="preserve">(2) </w:t>
      </w:r>
      <w:r>
        <w:rPr>
          <w:rFonts w:ascii="Arial" w:hAnsi="Arial"/>
          <w:sz w:val="20"/>
          <w:szCs w:val="20"/>
        </w:rPr>
        <w:tab/>
      </w:r>
      <w:r w:rsidRPr="005A62DB">
        <w:rPr>
          <w:rFonts w:ascii="Arial" w:hAnsi="Arial"/>
          <w:sz w:val="20"/>
          <w:szCs w:val="20"/>
        </w:rPr>
        <w:t>If a medical practitioner or psychologist is given a copy of a</w:t>
      </w:r>
      <w:r>
        <w:rPr>
          <w:rFonts w:ascii="Arial" w:hAnsi="Arial"/>
          <w:sz w:val="20"/>
          <w:szCs w:val="20"/>
        </w:rPr>
        <w:t xml:space="preserve"> </w:t>
      </w:r>
      <w:r w:rsidRPr="005A62DB">
        <w:rPr>
          <w:rFonts w:ascii="Arial" w:hAnsi="Arial"/>
          <w:sz w:val="20"/>
          <w:szCs w:val="20"/>
        </w:rPr>
        <w:t xml:space="preserve">report about a </w:t>
      </w:r>
      <w:r>
        <w:rPr>
          <w:rFonts w:ascii="Arial" w:hAnsi="Arial"/>
          <w:sz w:val="20"/>
          <w:szCs w:val="20"/>
        </w:rPr>
        <w:tab/>
      </w:r>
      <w:r>
        <w:rPr>
          <w:rFonts w:ascii="Arial" w:hAnsi="Arial"/>
          <w:sz w:val="20"/>
          <w:szCs w:val="20"/>
        </w:rPr>
        <w:tab/>
      </w:r>
      <w:r w:rsidRPr="005A62DB">
        <w:rPr>
          <w:rFonts w:ascii="Arial" w:hAnsi="Arial"/>
          <w:sz w:val="20"/>
          <w:szCs w:val="20"/>
        </w:rPr>
        <w:t>registered health practitioner or student under</w:t>
      </w:r>
      <w:r>
        <w:rPr>
          <w:rFonts w:ascii="Arial" w:hAnsi="Arial"/>
          <w:sz w:val="20"/>
          <w:szCs w:val="20"/>
        </w:rPr>
        <w:t xml:space="preserve"> </w:t>
      </w:r>
      <w:r w:rsidRPr="005A62DB">
        <w:rPr>
          <w:rFonts w:ascii="Arial" w:hAnsi="Arial"/>
          <w:sz w:val="20"/>
          <w:szCs w:val="20"/>
        </w:rPr>
        <w:t xml:space="preserve">subsection (1)(b), the medical </w:t>
      </w:r>
      <w:r>
        <w:rPr>
          <w:rFonts w:ascii="Arial" w:hAnsi="Arial"/>
          <w:sz w:val="20"/>
          <w:szCs w:val="20"/>
        </w:rPr>
        <w:tab/>
      </w:r>
      <w:r>
        <w:rPr>
          <w:rFonts w:ascii="Arial" w:hAnsi="Arial"/>
          <w:sz w:val="20"/>
          <w:szCs w:val="20"/>
        </w:rPr>
        <w:tab/>
      </w:r>
      <w:r w:rsidRPr="005A62DB">
        <w:rPr>
          <w:rFonts w:ascii="Arial" w:hAnsi="Arial"/>
          <w:sz w:val="20"/>
          <w:szCs w:val="20"/>
        </w:rPr>
        <w:t>practitioner or psychologist</w:t>
      </w:r>
      <w:r>
        <w:rPr>
          <w:rFonts w:ascii="Arial" w:hAnsi="Arial"/>
          <w:sz w:val="20"/>
          <w:szCs w:val="20"/>
        </w:rPr>
        <w:t xml:space="preserve"> </w:t>
      </w:r>
      <w:r w:rsidRPr="005A62DB">
        <w:rPr>
          <w:rFonts w:ascii="Arial" w:hAnsi="Arial"/>
          <w:sz w:val="20"/>
          <w:szCs w:val="20"/>
        </w:rPr>
        <w:t xml:space="preserve">must give a copy of the report to the practitioner </w:t>
      </w:r>
      <w:r>
        <w:rPr>
          <w:rFonts w:ascii="Arial" w:hAnsi="Arial"/>
          <w:sz w:val="20"/>
          <w:szCs w:val="20"/>
        </w:rPr>
        <w:tab/>
      </w:r>
      <w:r>
        <w:rPr>
          <w:rFonts w:ascii="Arial" w:hAnsi="Arial"/>
          <w:sz w:val="20"/>
          <w:szCs w:val="20"/>
        </w:rPr>
        <w:tab/>
      </w:r>
      <w:r w:rsidRPr="005A62DB">
        <w:rPr>
          <w:rFonts w:ascii="Arial" w:hAnsi="Arial"/>
          <w:sz w:val="20"/>
          <w:szCs w:val="20"/>
        </w:rPr>
        <w:t>or student as</w:t>
      </w:r>
      <w:r>
        <w:rPr>
          <w:rFonts w:ascii="Arial" w:hAnsi="Arial"/>
          <w:sz w:val="20"/>
          <w:szCs w:val="20"/>
        </w:rPr>
        <w:t xml:space="preserve"> </w:t>
      </w:r>
      <w:r w:rsidRPr="005A62DB">
        <w:rPr>
          <w:rFonts w:ascii="Arial" w:hAnsi="Arial"/>
          <w:sz w:val="20"/>
          <w:szCs w:val="20"/>
        </w:rPr>
        <w:t>soon as it will no longer be prejudicial to the practitioner’s or</w:t>
      </w:r>
      <w:r>
        <w:rPr>
          <w:rFonts w:ascii="Arial" w:hAnsi="Arial"/>
          <w:sz w:val="20"/>
          <w:szCs w:val="20"/>
        </w:rPr>
        <w:t xml:space="preserve"> </w:t>
      </w:r>
      <w:r w:rsidRPr="005A62DB">
        <w:rPr>
          <w:rFonts w:ascii="Arial" w:hAnsi="Arial"/>
          <w:sz w:val="20"/>
          <w:szCs w:val="20"/>
        </w:rPr>
        <w:t>student’s health or wellbeing.</w:t>
      </w:r>
    </w:p>
    <w:p w:rsidR="00900921" w:rsidRPr="005A62DB" w:rsidRDefault="00900921" w:rsidP="00900921">
      <w:pPr>
        <w:autoSpaceDE w:val="0"/>
        <w:autoSpaceDN w:val="0"/>
        <w:adjustRightInd w:val="0"/>
        <w:spacing w:after="0"/>
        <w:ind w:left="1418" w:hanging="709"/>
        <w:rPr>
          <w:rFonts w:ascii="Arial" w:hAnsi="Arial"/>
          <w:sz w:val="20"/>
          <w:szCs w:val="20"/>
        </w:rPr>
      </w:pPr>
      <w:r w:rsidRPr="005A62DB">
        <w:rPr>
          <w:rFonts w:ascii="Arial" w:hAnsi="Arial"/>
          <w:sz w:val="20"/>
          <w:szCs w:val="20"/>
        </w:rPr>
        <w:t xml:space="preserve">(3) </w:t>
      </w:r>
      <w:r>
        <w:rPr>
          <w:rFonts w:ascii="Arial" w:hAnsi="Arial"/>
          <w:sz w:val="20"/>
          <w:szCs w:val="20"/>
        </w:rPr>
        <w:tab/>
      </w:r>
      <w:r w:rsidRPr="005A62DB">
        <w:rPr>
          <w:rFonts w:ascii="Arial" w:hAnsi="Arial"/>
          <w:sz w:val="20"/>
          <w:szCs w:val="20"/>
        </w:rPr>
        <w:t>After the registered health practitioner or student has been</w:t>
      </w:r>
      <w:r>
        <w:rPr>
          <w:rFonts w:ascii="Arial" w:hAnsi="Arial"/>
          <w:sz w:val="20"/>
          <w:szCs w:val="20"/>
        </w:rPr>
        <w:t xml:space="preserve"> </w:t>
      </w:r>
      <w:r w:rsidRPr="005A62DB">
        <w:rPr>
          <w:rFonts w:ascii="Arial" w:hAnsi="Arial"/>
          <w:sz w:val="20"/>
          <w:szCs w:val="20"/>
        </w:rPr>
        <w:t xml:space="preserve">given a copy of </w:t>
      </w:r>
      <w:r>
        <w:rPr>
          <w:rFonts w:ascii="Arial" w:hAnsi="Arial"/>
          <w:sz w:val="20"/>
          <w:szCs w:val="20"/>
        </w:rPr>
        <w:tab/>
      </w:r>
      <w:r>
        <w:rPr>
          <w:rFonts w:ascii="Arial" w:hAnsi="Arial"/>
          <w:sz w:val="20"/>
          <w:szCs w:val="20"/>
        </w:rPr>
        <w:tab/>
      </w:r>
      <w:r w:rsidRPr="005A62DB">
        <w:rPr>
          <w:rFonts w:ascii="Arial" w:hAnsi="Arial"/>
          <w:sz w:val="20"/>
          <w:szCs w:val="20"/>
        </w:rPr>
        <w:t>the report under subsection (1</w:t>
      </w:r>
      <w:proofErr w:type="gramStart"/>
      <w:r w:rsidRPr="005A62DB">
        <w:rPr>
          <w:rFonts w:ascii="Arial" w:hAnsi="Arial"/>
          <w:sz w:val="20"/>
          <w:szCs w:val="20"/>
        </w:rPr>
        <w:t>)(</w:t>
      </w:r>
      <w:proofErr w:type="gramEnd"/>
      <w:r w:rsidRPr="005A62DB">
        <w:rPr>
          <w:rFonts w:ascii="Arial" w:hAnsi="Arial"/>
          <w:sz w:val="20"/>
          <w:szCs w:val="20"/>
        </w:rPr>
        <w:t>a) or (2), a</w:t>
      </w:r>
      <w:r>
        <w:rPr>
          <w:rFonts w:ascii="Arial" w:hAnsi="Arial"/>
          <w:sz w:val="20"/>
          <w:szCs w:val="20"/>
        </w:rPr>
        <w:t xml:space="preserve"> </w:t>
      </w:r>
      <w:r w:rsidRPr="005A62DB">
        <w:rPr>
          <w:rFonts w:ascii="Arial" w:hAnsi="Arial"/>
          <w:sz w:val="20"/>
          <w:szCs w:val="20"/>
        </w:rPr>
        <w:t xml:space="preserve">person nominated by the Board </w:t>
      </w:r>
      <w:r>
        <w:rPr>
          <w:rFonts w:ascii="Arial" w:hAnsi="Arial"/>
          <w:sz w:val="20"/>
          <w:szCs w:val="20"/>
        </w:rPr>
        <w:tab/>
      </w:r>
      <w:r>
        <w:rPr>
          <w:rFonts w:ascii="Arial" w:hAnsi="Arial"/>
          <w:sz w:val="20"/>
          <w:szCs w:val="20"/>
        </w:rPr>
        <w:tab/>
      </w:r>
      <w:r w:rsidRPr="005A62DB">
        <w:rPr>
          <w:rFonts w:ascii="Arial" w:hAnsi="Arial"/>
          <w:sz w:val="20"/>
          <w:szCs w:val="20"/>
        </w:rPr>
        <w:t>must—</w:t>
      </w:r>
    </w:p>
    <w:p w:rsidR="00900921" w:rsidRPr="005A62DB" w:rsidRDefault="00900921" w:rsidP="00900921">
      <w:pPr>
        <w:autoSpaceDE w:val="0"/>
        <w:autoSpaceDN w:val="0"/>
        <w:adjustRightInd w:val="0"/>
        <w:spacing w:after="0"/>
        <w:ind w:left="1985" w:hanging="567"/>
        <w:rPr>
          <w:rFonts w:ascii="Arial" w:hAnsi="Arial"/>
          <w:sz w:val="20"/>
          <w:szCs w:val="20"/>
        </w:rPr>
      </w:pPr>
      <w:r>
        <w:rPr>
          <w:rFonts w:ascii="Arial" w:hAnsi="Arial"/>
          <w:sz w:val="20"/>
          <w:szCs w:val="20"/>
        </w:rPr>
        <w:t>(a)</w:t>
      </w:r>
      <w:r>
        <w:rPr>
          <w:rFonts w:ascii="Arial" w:hAnsi="Arial"/>
          <w:sz w:val="20"/>
          <w:szCs w:val="20"/>
        </w:rPr>
        <w:tab/>
      </w:r>
      <w:proofErr w:type="gramStart"/>
      <w:r w:rsidRPr="005A62DB">
        <w:rPr>
          <w:rFonts w:ascii="Arial" w:hAnsi="Arial"/>
          <w:sz w:val="20"/>
          <w:szCs w:val="20"/>
        </w:rPr>
        <w:t>discuss</w:t>
      </w:r>
      <w:proofErr w:type="gramEnd"/>
      <w:r w:rsidRPr="005A62DB">
        <w:rPr>
          <w:rFonts w:ascii="Arial" w:hAnsi="Arial"/>
          <w:sz w:val="20"/>
          <w:szCs w:val="20"/>
        </w:rPr>
        <w:t xml:space="preserve"> the report with the practitioner or student; and</w:t>
      </w:r>
    </w:p>
    <w:p w:rsidR="00900921" w:rsidRDefault="00900921" w:rsidP="00900921">
      <w:pPr>
        <w:autoSpaceDE w:val="0"/>
        <w:autoSpaceDN w:val="0"/>
        <w:adjustRightInd w:val="0"/>
        <w:spacing w:after="0"/>
        <w:ind w:left="1985" w:hanging="567"/>
        <w:rPr>
          <w:rFonts w:ascii="Arial" w:hAnsi="Arial"/>
          <w:sz w:val="20"/>
          <w:szCs w:val="20"/>
        </w:rPr>
      </w:pPr>
      <w:r w:rsidRPr="005A62DB">
        <w:rPr>
          <w:rFonts w:ascii="Arial" w:hAnsi="Arial"/>
          <w:sz w:val="20"/>
          <w:szCs w:val="20"/>
        </w:rPr>
        <w:t xml:space="preserve">(b) </w:t>
      </w:r>
      <w:r>
        <w:rPr>
          <w:rFonts w:ascii="Arial" w:hAnsi="Arial"/>
          <w:sz w:val="20"/>
          <w:szCs w:val="20"/>
        </w:rPr>
        <w:tab/>
      </w:r>
      <w:proofErr w:type="gramStart"/>
      <w:r w:rsidRPr="005A62DB">
        <w:rPr>
          <w:rFonts w:ascii="Arial" w:hAnsi="Arial"/>
          <w:sz w:val="20"/>
          <w:szCs w:val="20"/>
        </w:rPr>
        <w:t>if</w:t>
      </w:r>
      <w:proofErr w:type="gramEnd"/>
      <w:r w:rsidRPr="005A62DB">
        <w:rPr>
          <w:rFonts w:ascii="Arial" w:hAnsi="Arial"/>
          <w:sz w:val="20"/>
          <w:szCs w:val="20"/>
        </w:rPr>
        <w:t xml:space="preserve"> the report makes an adverse finding about the</w:t>
      </w:r>
      <w:r>
        <w:rPr>
          <w:rFonts w:ascii="Arial" w:hAnsi="Arial"/>
          <w:sz w:val="20"/>
          <w:szCs w:val="20"/>
        </w:rPr>
        <w:t xml:space="preserve"> </w:t>
      </w:r>
      <w:r w:rsidRPr="005A62DB">
        <w:rPr>
          <w:rFonts w:ascii="Arial" w:hAnsi="Arial"/>
          <w:sz w:val="20"/>
          <w:szCs w:val="20"/>
        </w:rPr>
        <w:t>practitioner’s practice of the profession or states that the</w:t>
      </w:r>
      <w:r>
        <w:rPr>
          <w:rFonts w:ascii="Arial" w:hAnsi="Arial"/>
          <w:sz w:val="20"/>
          <w:szCs w:val="20"/>
        </w:rPr>
        <w:t xml:space="preserve"> </w:t>
      </w:r>
      <w:r w:rsidRPr="005A62DB">
        <w:rPr>
          <w:rFonts w:ascii="Arial" w:hAnsi="Arial"/>
          <w:sz w:val="20"/>
          <w:szCs w:val="20"/>
        </w:rPr>
        <w:t>assessor finds the practitioner has an impairment,</w:t>
      </w:r>
      <w:r>
        <w:rPr>
          <w:rFonts w:ascii="Arial" w:hAnsi="Arial"/>
          <w:sz w:val="20"/>
          <w:szCs w:val="20"/>
        </w:rPr>
        <w:t xml:space="preserve"> </w:t>
      </w:r>
      <w:r w:rsidRPr="005A62DB">
        <w:rPr>
          <w:rFonts w:ascii="Arial" w:hAnsi="Arial"/>
          <w:sz w:val="20"/>
          <w:szCs w:val="20"/>
        </w:rPr>
        <w:t>discuss with the practitioner ways of dealing with the</w:t>
      </w:r>
      <w:r>
        <w:rPr>
          <w:rFonts w:ascii="Arial" w:hAnsi="Arial"/>
          <w:sz w:val="20"/>
          <w:szCs w:val="20"/>
        </w:rPr>
        <w:t xml:space="preserve"> </w:t>
      </w:r>
      <w:r w:rsidRPr="005A62DB">
        <w:rPr>
          <w:rFonts w:ascii="Arial" w:hAnsi="Arial"/>
          <w:sz w:val="20"/>
          <w:szCs w:val="20"/>
        </w:rPr>
        <w:t>finding, including, for a practitioner, whether the</w:t>
      </w:r>
      <w:r>
        <w:rPr>
          <w:rFonts w:ascii="Arial" w:hAnsi="Arial"/>
          <w:sz w:val="20"/>
          <w:szCs w:val="20"/>
        </w:rPr>
        <w:t xml:space="preserve"> </w:t>
      </w:r>
      <w:r w:rsidRPr="005A62DB">
        <w:rPr>
          <w:rFonts w:ascii="Arial" w:hAnsi="Arial"/>
          <w:sz w:val="20"/>
          <w:szCs w:val="20"/>
        </w:rPr>
        <w:t>practitioner is prepared to alter the way the practitioner</w:t>
      </w:r>
      <w:r>
        <w:rPr>
          <w:rFonts w:ascii="Arial" w:hAnsi="Arial"/>
          <w:sz w:val="20"/>
          <w:szCs w:val="20"/>
        </w:rPr>
        <w:t xml:space="preserve"> </w:t>
      </w:r>
      <w:r w:rsidRPr="005A62DB">
        <w:rPr>
          <w:rFonts w:ascii="Arial" w:hAnsi="Arial"/>
          <w:sz w:val="20"/>
          <w:szCs w:val="20"/>
        </w:rPr>
        <w:t>practises the health profession.</w:t>
      </w:r>
    </w:p>
    <w:p w:rsidR="00900921" w:rsidRDefault="00900921" w:rsidP="00900921">
      <w:pPr>
        <w:pStyle w:val="NormalWeb"/>
        <w:spacing w:before="2" w:after="2"/>
        <w:rPr>
          <w:rFonts w:ascii="Arial" w:hAnsi="Arial"/>
        </w:rPr>
      </w:pPr>
    </w:p>
    <w:p w:rsidR="00E36229" w:rsidRPr="00E36229" w:rsidRDefault="00E36229" w:rsidP="00E36229">
      <w:pPr>
        <w:pStyle w:val="AHPRASubheadinglevel2"/>
        <w:rPr>
          <w:b w:val="0"/>
        </w:rPr>
      </w:pPr>
      <w:r w:rsidRPr="00E36229">
        <w:t xml:space="preserve">220 </w:t>
      </w:r>
      <w:r w:rsidR="00C40B2C">
        <w:tab/>
      </w:r>
      <w:r w:rsidRPr="00E36229">
        <w:t>Disclosure to protect health or safety of patients or other</w:t>
      </w:r>
      <w:r w:rsidR="00C40B2C">
        <w:t xml:space="preserve"> </w:t>
      </w:r>
      <w:r w:rsidRPr="00E36229">
        <w:t>persons</w:t>
      </w:r>
    </w:p>
    <w:p w:rsidR="00E36229" w:rsidRPr="00E36229" w:rsidRDefault="00E36229" w:rsidP="00E36229">
      <w:pPr>
        <w:autoSpaceDE w:val="0"/>
        <w:autoSpaceDN w:val="0"/>
        <w:adjustRightInd w:val="0"/>
        <w:spacing w:after="0"/>
        <w:ind w:left="1287" w:hanging="567"/>
        <w:rPr>
          <w:rFonts w:ascii="Arial" w:hAnsi="Arial"/>
          <w:sz w:val="20"/>
          <w:szCs w:val="20"/>
        </w:rPr>
      </w:pPr>
      <w:r w:rsidRPr="00E36229">
        <w:rPr>
          <w:rFonts w:ascii="Arial" w:hAnsi="Arial"/>
          <w:sz w:val="20"/>
          <w:szCs w:val="20"/>
        </w:rPr>
        <w:t xml:space="preserve">(1) </w:t>
      </w:r>
      <w:r w:rsidRPr="00E36229">
        <w:rPr>
          <w:rFonts w:ascii="Arial" w:hAnsi="Arial"/>
          <w:sz w:val="20"/>
          <w:szCs w:val="20"/>
        </w:rPr>
        <w:tab/>
        <w:t>This section applies if a National Board reasonably believes</w:t>
      </w:r>
      <w:r w:rsidR="00C875F8">
        <w:rPr>
          <w:rFonts w:ascii="Arial" w:hAnsi="Arial"/>
          <w:sz w:val="20"/>
          <w:szCs w:val="20"/>
        </w:rPr>
        <w:t xml:space="preserve"> </w:t>
      </w:r>
      <w:r w:rsidRPr="00E36229">
        <w:rPr>
          <w:rFonts w:ascii="Arial" w:hAnsi="Arial"/>
          <w:sz w:val="20"/>
          <w:szCs w:val="20"/>
        </w:rPr>
        <w:t>that—</w:t>
      </w:r>
    </w:p>
    <w:p w:rsidR="00E36229" w:rsidRDefault="00E36229" w:rsidP="00E36229">
      <w:pPr>
        <w:autoSpaceDE w:val="0"/>
        <w:autoSpaceDN w:val="0"/>
        <w:adjustRightInd w:val="0"/>
        <w:spacing w:after="0"/>
        <w:ind w:left="2007" w:hanging="567"/>
        <w:rPr>
          <w:rFonts w:ascii="Arial" w:hAnsi="Arial"/>
          <w:sz w:val="20"/>
          <w:szCs w:val="20"/>
        </w:rPr>
      </w:pPr>
      <w:r w:rsidRPr="00E36229">
        <w:rPr>
          <w:rFonts w:ascii="Arial" w:hAnsi="Arial"/>
          <w:sz w:val="20"/>
          <w:szCs w:val="20"/>
        </w:rPr>
        <w:t>(a)</w:t>
      </w:r>
      <w:r w:rsidR="00C875F8">
        <w:rPr>
          <w:rFonts w:ascii="Arial" w:hAnsi="Arial"/>
          <w:sz w:val="20"/>
          <w:szCs w:val="20"/>
        </w:rPr>
        <w:tab/>
      </w:r>
      <w:proofErr w:type="gramStart"/>
      <w:r w:rsidRPr="00E36229">
        <w:rPr>
          <w:rFonts w:ascii="Arial" w:hAnsi="Arial"/>
          <w:sz w:val="20"/>
          <w:szCs w:val="20"/>
        </w:rPr>
        <w:t>a</w:t>
      </w:r>
      <w:proofErr w:type="gramEnd"/>
      <w:r w:rsidRPr="00E36229">
        <w:rPr>
          <w:rFonts w:ascii="Arial" w:hAnsi="Arial"/>
          <w:sz w:val="20"/>
          <w:szCs w:val="20"/>
        </w:rPr>
        <w:t xml:space="preserve"> registered health practitioner poses, or may pose, a risk</w:t>
      </w:r>
      <w:r w:rsidR="00C875F8">
        <w:rPr>
          <w:rFonts w:ascii="Arial" w:hAnsi="Arial"/>
          <w:sz w:val="20"/>
          <w:szCs w:val="20"/>
        </w:rPr>
        <w:t xml:space="preserve"> </w:t>
      </w:r>
      <w:r w:rsidRPr="00E36229">
        <w:rPr>
          <w:rFonts w:ascii="Arial" w:hAnsi="Arial"/>
          <w:sz w:val="20"/>
          <w:szCs w:val="20"/>
        </w:rPr>
        <w:t>to public health; or</w:t>
      </w:r>
    </w:p>
    <w:p w:rsidR="00E36229" w:rsidRPr="00E36229" w:rsidRDefault="00D64BC4" w:rsidP="00E36229">
      <w:pPr>
        <w:autoSpaceDE w:val="0"/>
        <w:autoSpaceDN w:val="0"/>
        <w:adjustRightInd w:val="0"/>
        <w:spacing w:after="0"/>
        <w:ind w:left="2007" w:hanging="567"/>
        <w:rPr>
          <w:rFonts w:ascii="Arial" w:hAnsi="Arial"/>
          <w:sz w:val="20"/>
          <w:szCs w:val="20"/>
        </w:rPr>
      </w:pPr>
      <w:r>
        <w:rPr>
          <w:rFonts w:ascii="Arial" w:hAnsi="Arial"/>
          <w:sz w:val="20"/>
          <w:szCs w:val="20"/>
        </w:rPr>
        <w:t>(b)</w:t>
      </w:r>
      <w:r>
        <w:rPr>
          <w:rFonts w:ascii="Arial" w:hAnsi="Arial"/>
          <w:sz w:val="20"/>
          <w:szCs w:val="20"/>
        </w:rPr>
        <w:tab/>
      </w:r>
      <w:proofErr w:type="gramStart"/>
      <w:r w:rsidRPr="00C40B2C">
        <w:rPr>
          <w:rFonts w:ascii="Arial" w:hAnsi="Arial"/>
          <w:sz w:val="20"/>
          <w:szCs w:val="20"/>
        </w:rPr>
        <w:t>the</w:t>
      </w:r>
      <w:proofErr w:type="gramEnd"/>
      <w:r w:rsidRPr="00C40B2C">
        <w:rPr>
          <w:rFonts w:ascii="Arial" w:hAnsi="Arial"/>
          <w:sz w:val="20"/>
          <w:szCs w:val="20"/>
        </w:rPr>
        <w:t xml:space="preserve"> health or safety of a patient or a class of patients is or</w:t>
      </w:r>
      <w:r>
        <w:rPr>
          <w:rFonts w:ascii="Arial" w:hAnsi="Arial"/>
          <w:sz w:val="20"/>
          <w:szCs w:val="20"/>
        </w:rPr>
        <w:t xml:space="preserve"> </w:t>
      </w:r>
      <w:r w:rsidRPr="00C40B2C">
        <w:rPr>
          <w:rFonts w:ascii="Arial" w:hAnsi="Arial"/>
          <w:sz w:val="20"/>
          <w:szCs w:val="20"/>
        </w:rPr>
        <w:t>may be at risk because of a</w:t>
      </w:r>
      <w:r>
        <w:rPr>
          <w:rFonts w:ascii="Arial" w:hAnsi="Arial"/>
          <w:sz w:val="20"/>
          <w:szCs w:val="20"/>
        </w:rPr>
        <w:t xml:space="preserve"> </w:t>
      </w:r>
      <w:r w:rsidRPr="00C40B2C">
        <w:rPr>
          <w:rFonts w:ascii="Arial" w:hAnsi="Arial"/>
          <w:sz w:val="20"/>
          <w:szCs w:val="20"/>
        </w:rPr>
        <w:t>registered health</w:t>
      </w:r>
      <w:r>
        <w:rPr>
          <w:rFonts w:ascii="Arial" w:hAnsi="Arial"/>
          <w:sz w:val="20"/>
          <w:szCs w:val="20"/>
        </w:rPr>
        <w:t xml:space="preserve"> </w:t>
      </w:r>
      <w:r w:rsidRPr="00C40B2C">
        <w:rPr>
          <w:rFonts w:ascii="Arial" w:hAnsi="Arial"/>
          <w:sz w:val="20"/>
          <w:szCs w:val="20"/>
        </w:rPr>
        <w:t>practitioner’s practice as a health practitioner.</w:t>
      </w:r>
    </w:p>
    <w:p w:rsidR="00E36229" w:rsidRDefault="00E36229" w:rsidP="00E36229">
      <w:pPr>
        <w:tabs>
          <w:tab w:val="left" w:pos="1985"/>
        </w:tabs>
        <w:autoSpaceDE w:val="0"/>
        <w:autoSpaceDN w:val="0"/>
        <w:adjustRightInd w:val="0"/>
        <w:spacing w:after="0"/>
        <w:ind w:left="1287" w:hanging="567"/>
        <w:rPr>
          <w:szCs w:val="20"/>
        </w:rPr>
      </w:pPr>
      <w:r w:rsidRPr="00E36229">
        <w:rPr>
          <w:rFonts w:ascii="Arial" w:hAnsi="Arial"/>
          <w:sz w:val="20"/>
          <w:szCs w:val="20"/>
        </w:rPr>
        <w:t xml:space="preserve">(2) </w:t>
      </w:r>
      <w:r w:rsidR="00C875F8">
        <w:rPr>
          <w:rFonts w:ascii="Arial" w:hAnsi="Arial"/>
          <w:sz w:val="20"/>
          <w:szCs w:val="20"/>
        </w:rPr>
        <w:tab/>
      </w:r>
      <w:r w:rsidRPr="00E36229">
        <w:rPr>
          <w:rFonts w:ascii="Arial" w:hAnsi="Arial"/>
          <w:sz w:val="20"/>
          <w:szCs w:val="20"/>
        </w:rPr>
        <w:t>The National Board may give written notice of the risk and</w:t>
      </w:r>
      <w:r w:rsidR="00C875F8">
        <w:rPr>
          <w:rFonts w:ascii="Arial" w:hAnsi="Arial"/>
          <w:sz w:val="20"/>
          <w:szCs w:val="20"/>
        </w:rPr>
        <w:t xml:space="preserve"> </w:t>
      </w:r>
      <w:r w:rsidRPr="00E36229">
        <w:rPr>
          <w:rFonts w:ascii="Arial" w:hAnsi="Arial"/>
          <w:sz w:val="20"/>
          <w:szCs w:val="20"/>
        </w:rPr>
        <w:t>any relevant information about the registered health</w:t>
      </w:r>
      <w:r w:rsidR="00C875F8">
        <w:rPr>
          <w:rFonts w:ascii="Arial" w:hAnsi="Arial"/>
          <w:sz w:val="20"/>
          <w:szCs w:val="20"/>
        </w:rPr>
        <w:t xml:space="preserve"> </w:t>
      </w:r>
      <w:r w:rsidRPr="00E36229">
        <w:rPr>
          <w:rFonts w:ascii="Arial" w:hAnsi="Arial"/>
          <w:sz w:val="20"/>
          <w:szCs w:val="20"/>
        </w:rPr>
        <w:t>practitioner to an entity of the Commonwealth or of a State or</w:t>
      </w:r>
      <w:r w:rsidR="00D64BC4">
        <w:rPr>
          <w:rFonts w:ascii="Arial" w:hAnsi="Arial"/>
          <w:sz w:val="20"/>
          <w:szCs w:val="20"/>
        </w:rPr>
        <w:t xml:space="preserve"> </w:t>
      </w:r>
      <w:r w:rsidRPr="00E36229">
        <w:rPr>
          <w:rFonts w:ascii="Arial" w:hAnsi="Arial"/>
          <w:sz w:val="20"/>
          <w:szCs w:val="20"/>
        </w:rPr>
        <w:t>Territory that the Board considers may be required to take</w:t>
      </w:r>
      <w:r w:rsidR="00C875F8">
        <w:rPr>
          <w:rFonts w:ascii="Arial" w:hAnsi="Arial"/>
          <w:sz w:val="20"/>
          <w:szCs w:val="20"/>
        </w:rPr>
        <w:t xml:space="preserve"> </w:t>
      </w:r>
      <w:r w:rsidRPr="00E36229">
        <w:rPr>
          <w:rFonts w:ascii="Arial" w:hAnsi="Arial"/>
          <w:sz w:val="20"/>
          <w:szCs w:val="20"/>
        </w:rPr>
        <w:t>action in relation to the risk.</w:t>
      </w:r>
    </w:p>
    <w:sectPr w:rsidR="00E36229" w:rsidSect="00900921">
      <w:pgSz w:w="11900" w:h="16840"/>
      <w:pgMar w:top="1668" w:right="1268" w:bottom="1702" w:left="1134" w:header="283" w:footer="32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FE8" w:rsidRDefault="005E5FE8" w:rsidP="00CB559B">
      <w:pPr>
        <w:spacing w:after="0" w:line="240" w:lineRule="auto"/>
      </w:pPr>
      <w:r>
        <w:separator/>
      </w:r>
    </w:p>
  </w:endnote>
  <w:endnote w:type="continuationSeparator" w:id="0">
    <w:p w:rsidR="005E5FE8" w:rsidRDefault="005E5FE8" w:rsidP="00CB5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MT Lt">
    <w:altName w:val="Cambria"/>
    <w:panose1 w:val="00000000000000000000"/>
    <w:charset w:val="4D"/>
    <w:family w:val="roman"/>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E8" w:rsidRDefault="0035678B" w:rsidP="00900921">
    <w:pPr>
      <w:pStyle w:val="Footer"/>
      <w:framePr w:wrap="around" w:vAnchor="text" w:hAnchor="margin" w:xAlign="right" w:y="1"/>
    </w:pPr>
    <w:r>
      <w:fldChar w:fldCharType="begin"/>
    </w:r>
    <w:r w:rsidR="005E5FE8">
      <w:instrText xml:space="preserve">PAGE  </w:instrText>
    </w:r>
    <w:r>
      <w:fldChar w:fldCharType="end"/>
    </w:r>
  </w:p>
  <w:p w:rsidR="005E5FE8" w:rsidRDefault="005E5FE8" w:rsidP="009009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E8" w:rsidRPr="00E73698" w:rsidRDefault="0035678B" w:rsidP="00900921">
    <w:pPr>
      <w:pStyle w:val="AHPRApagenumber"/>
      <w:framePr w:w="483" w:wrap="around" w:hAnchor="page" w:x="10717" w:y="-428"/>
      <w:ind w:left="140" w:right="-474"/>
    </w:pPr>
    <w:fldSimple w:instr=" PAGE  ">
      <w:r w:rsidR="00D05D1A">
        <w:rPr>
          <w:noProof/>
        </w:rPr>
        <w:t>2</w:t>
      </w:r>
    </w:fldSimple>
  </w:p>
  <w:p w:rsidR="005E5FE8" w:rsidRPr="00C01AF4" w:rsidRDefault="005E5FE8" w:rsidP="004328EF">
    <w:pPr>
      <w:pStyle w:val="AHPRASubheadinglevel3"/>
      <w:ind w:left="-426" w:right="-708"/>
      <w:rPr>
        <w:sz w:val="18"/>
      </w:rPr>
    </w:pPr>
    <w:r>
      <w:rPr>
        <w:sz w:val="18"/>
      </w:rPr>
      <w:t>Public consultation: Guidelines for the management of registered health practitioners and students infected with blood-borne viruses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E8" w:rsidRPr="00D05ECB" w:rsidRDefault="005E5FE8" w:rsidP="00900921">
    <w:pPr>
      <w:spacing w:after="100"/>
      <w:jc w:val="center"/>
      <w:rPr>
        <w:rFonts w:ascii="Arial" w:hAnsi="Arial" w:cs="Arial"/>
        <w:b/>
        <w:color w:val="008EC4"/>
        <w:sz w:val="20"/>
      </w:rPr>
    </w:pPr>
    <w:r w:rsidRPr="00D05ECB">
      <w:rPr>
        <w:rFonts w:ascii="Arial" w:hAnsi="Arial" w:cs="Arial"/>
        <w:b/>
        <w:color w:val="424342"/>
        <w:sz w:val="20"/>
      </w:rPr>
      <w:t>Australian</w:t>
    </w:r>
    <w:r w:rsidRPr="00D05ECB">
      <w:rPr>
        <w:rFonts w:ascii="Arial" w:hAnsi="Arial" w:cs="Arial"/>
        <w:b/>
        <w:color w:val="008EC4"/>
        <w:sz w:val="20"/>
      </w:rPr>
      <w:t xml:space="preserve"> Health Practitioner </w:t>
    </w:r>
    <w:r w:rsidRPr="00D05ECB">
      <w:rPr>
        <w:rFonts w:ascii="Arial" w:hAnsi="Arial" w:cs="Arial"/>
        <w:b/>
        <w:color w:val="424342"/>
        <w:sz w:val="20"/>
      </w:rPr>
      <w:t>Regulation Agency</w:t>
    </w:r>
  </w:p>
  <w:p w:rsidR="005E5FE8" w:rsidRPr="00DD4899" w:rsidRDefault="005E5FE8" w:rsidP="00900921">
    <w:pPr>
      <w:tabs>
        <w:tab w:val="center" w:pos="4749"/>
      </w:tabs>
      <w:rPr>
        <w:rFonts w:ascii="Arial" w:hAnsi="Arial" w:cs="Arial"/>
        <w:sz w:val="20"/>
        <w:szCs w:val="20"/>
      </w:rPr>
    </w:pPr>
    <w:r w:rsidRPr="00D05ECB">
      <w:rPr>
        <w:rFonts w:ascii="Arial" w:hAnsi="Arial" w:cs="Arial"/>
        <w:sz w:val="20"/>
        <w:szCs w:val="20"/>
      </w:rPr>
      <w:tab/>
      <w:t xml:space="preserve">G.P.O. Box 9958   </w:t>
    </w:r>
    <w:r w:rsidRPr="00D05ECB">
      <w:rPr>
        <w:rFonts w:ascii="Arial" w:hAnsi="Arial" w:cs="Arial"/>
        <w:b/>
        <w:color w:val="008EC4"/>
        <w:sz w:val="20"/>
        <w:szCs w:val="28"/>
      </w:rPr>
      <w:t>|</w:t>
    </w:r>
    <w:r w:rsidRPr="00D05ECB">
      <w:rPr>
        <w:rFonts w:ascii="Arial" w:hAnsi="Arial" w:cs="Arial"/>
        <w:sz w:val="20"/>
        <w:szCs w:val="20"/>
      </w:rPr>
      <w:t xml:space="preserve">   Melbourne VIC 3001   </w:t>
    </w:r>
    <w:r w:rsidRPr="00D05ECB">
      <w:rPr>
        <w:rFonts w:ascii="Arial" w:hAnsi="Arial" w:cs="Arial"/>
        <w:b/>
        <w:color w:val="008EC4"/>
        <w:sz w:val="20"/>
        <w:szCs w:val="28"/>
      </w:rPr>
      <w:t>|</w:t>
    </w:r>
    <w:r w:rsidRPr="00D05ECB">
      <w:rPr>
        <w:rFonts w:ascii="Arial" w:hAnsi="Arial" w:cs="Arial"/>
        <w:sz w:val="20"/>
        <w:szCs w:val="20"/>
      </w:rPr>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FE8" w:rsidRDefault="005E5FE8" w:rsidP="00CB559B">
      <w:pPr>
        <w:spacing w:after="0" w:line="240" w:lineRule="auto"/>
      </w:pPr>
      <w:r>
        <w:separator/>
      </w:r>
    </w:p>
  </w:footnote>
  <w:footnote w:type="continuationSeparator" w:id="0">
    <w:p w:rsidR="005E5FE8" w:rsidRDefault="005E5FE8" w:rsidP="00CB559B">
      <w:pPr>
        <w:spacing w:after="0" w:line="240" w:lineRule="auto"/>
      </w:pPr>
      <w:r>
        <w:continuationSeparator/>
      </w:r>
    </w:p>
  </w:footnote>
  <w:footnote w:id="1">
    <w:p w:rsidR="005E5FE8" w:rsidRPr="00DF34BA" w:rsidRDefault="005E5FE8">
      <w:pPr>
        <w:pStyle w:val="FootnoteText"/>
        <w:rPr>
          <w:rFonts w:ascii="Arial" w:hAnsi="Arial"/>
          <w:sz w:val="16"/>
        </w:rPr>
      </w:pPr>
      <w:r>
        <w:rPr>
          <w:rStyle w:val="FootnoteReference"/>
        </w:rPr>
        <w:footnoteRef/>
      </w:r>
      <w:r>
        <w:t xml:space="preserve"> </w:t>
      </w:r>
      <w:r w:rsidRPr="00DF34BA">
        <w:rPr>
          <w:rFonts w:ascii="Arial" w:hAnsi="Arial"/>
          <w:sz w:val="16"/>
        </w:rPr>
        <w:t>The current CDNA guidelines</w:t>
      </w:r>
      <w:r>
        <w:rPr>
          <w:rFonts w:ascii="Arial" w:hAnsi="Arial"/>
          <w:sz w:val="16"/>
        </w:rPr>
        <w:t xml:space="preserve"> are the</w:t>
      </w:r>
      <w:r w:rsidRPr="00DF34BA">
        <w:rPr>
          <w:rFonts w:ascii="Arial" w:hAnsi="Arial"/>
          <w:sz w:val="16"/>
        </w:rPr>
        <w:t xml:space="preserve"> </w:t>
      </w:r>
      <w:r w:rsidRPr="00DF34BA">
        <w:rPr>
          <w:rFonts w:ascii="Arial" w:eastAsia="Cambria" w:hAnsi="Arial" w:cs="Arial"/>
          <w:i/>
          <w:sz w:val="16"/>
          <w:szCs w:val="24"/>
        </w:rPr>
        <w:t>Australian National Guidelines for the Management of Health Care Workers known to be infected with blood-borne viruses</w:t>
      </w:r>
      <w:r w:rsidRPr="00DF34BA">
        <w:rPr>
          <w:rFonts w:ascii="Arial" w:eastAsia="Cambria" w:hAnsi="Arial" w:cs="Arial"/>
          <w:sz w:val="16"/>
          <w:szCs w:val="24"/>
        </w:rPr>
        <w:t xml:space="preserve"> </w:t>
      </w:r>
      <w:r>
        <w:rPr>
          <w:rFonts w:ascii="Arial" w:eastAsia="Cambria" w:hAnsi="Arial" w:cs="Arial"/>
          <w:sz w:val="16"/>
          <w:szCs w:val="24"/>
        </w:rPr>
        <w:t xml:space="preserve">and can be found at </w:t>
      </w:r>
      <w:r w:rsidRPr="00795504">
        <w:rPr>
          <w:rFonts w:ascii="Arial" w:eastAsia="Cambria" w:hAnsi="Arial" w:cs="Arial"/>
          <w:sz w:val="16"/>
          <w:szCs w:val="24"/>
        </w:rPr>
        <w:t>http://www.health.gov.au/internet/main/publishing.nsf/Content/cda-cdna-bloodborne.htm</w:t>
      </w:r>
    </w:p>
  </w:footnote>
  <w:footnote w:id="2">
    <w:p w:rsidR="005E5FE8" w:rsidRDefault="005E5FE8">
      <w:pPr>
        <w:pStyle w:val="NormalWeb"/>
        <w:spacing w:before="2" w:afterLines="0"/>
        <w:rPr>
          <w:rFonts w:ascii="Arial" w:hAnsi="Arial" w:cs="Arial"/>
          <w:sz w:val="16"/>
          <w:szCs w:val="16"/>
          <w:lang w:val="en-US"/>
        </w:rPr>
      </w:pPr>
      <w:r w:rsidRPr="009D5E19">
        <w:rPr>
          <w:rStyle w:val="FootnoteReference"/>
          <w:rFonts w:ascii="Arial" w:hAnsi="Arial" w:cs="Arial"/>
          <w:sz w:val="16"/>
          <w:szCs w:val="16"/>
        </w:rPr>
        <w:footnoteRef/>
      </w:r>
      <w:r w:rsidRPr="009D5E19">
        <w:rPr>
          <w:rFonts w:ascii="Arial" w:hAnsi="Arial" w:cs="Arial"/>
          <w:sz w:val="16"/>
          <w:szCs w:val="16"/>
        </w:rPr>
        <w:t xml:space="preserve"> </w:t>
      </w:r>
      <w:r>
        <w:rPr>
          <w:rFonts w:ascii="Arial" w:hAnsi="Arial" w:cs="Arial"/>
          <w:sz w:val="16"/>
          <w:szCs w:val="16"/>
        </w:rPr>
        <w:t>The current CDNA guidelines define an e</w:t>
      </w:r>
      <w:proofErr w:type="spellStart"/>
      <w:r w:rsidRPr="009D5E19">
        <w:rPr>
          <w:rFonts w:ascii="Arial" w:hAnsi="Arial" w:cs="Arial"/>
          <w:sz w:val="16"/>
          <w:szCs w:val="16"/>
          <w:lang w:val="en-US"/>
        </w:rPr>
        <w:t>xposure</w:t>
      </w:r>
      <w:proofErr w:type="spellEnd"/>
      <w:r w:rsidRPr="009D5E19">
        <w:rPr>
          <w:rFonts w:ascii="Arial" w:hAnsi="Arial" w:cs="Arial"/>
          <w:sz w:val="16"/>
          <w:szCs w:val="16"/>
          <w:lang w:val="en-US"/>
        </w:rPr>
        <w:t xml:space="preserve"> prone procedure </w:t>
      </w:r>
      <w:r>
        <w:rPr>
          <w:rFonts w:ascii="Arial" w:hAnsi="Arial" w:cs="Arial"/>
          <w:sz w:val="16"/>
          <w:szCs w:val="16"/>
          <w:lang w:val="en-US"/>
        </w:rPr>
        <w:t>as</w:t>
      </w:r>
      <w:r w:rsidRPr="000A3880">
        <w:rPr>
          <w:rFonts w:ascii="Arial" w:hAnsi="Arial" w:cs="Arial"/>
          <w:sz w:val="16"/>
          <w:szCs w:val="16"/>
          <w:lang w:val="en-US"/>
        </w:rPr>
        <w:t xml:space="preserve"> a procedure where there is a risk of injury to the </w:t>
      </w:r>
      <w:r>
        <w:rPr>
          <w:rFonts w:ascii="Arial" w:hAnsi="Arial" w:cs="Arial"/>
          <w:sz w:val="16"/>
          <w:szCs w:val="16"/>
          <w:lang w:val="en-US"/>
        </w:rPr>
        <w:t>healthcare worker</w:t>
      </w:r>
      <w:r w:rsidRPr="000A3880">
        <w:rPr>
          <w:rFonts w:ascii="Arial" w:hAnsi="Arial" w:cs="Arial"/>
          <w:sz w:val="16"/>
          <w:szCs w:val="16"/>
          <w:lang w:val="en-US"/>
        </w:rPr>
        <w:t xml:space="preserve"> resulting in exposure of the patient’s open tissues to the blood of the worker. These procedures include those where the worker’s hands (whether gloved or not) may be in contact with sharp instruments, needle tips or sharp tissues (</w:t>
      </w:r>
      <w:proofErr w:type="spellStart"/>
      <w:r w:rsidRPr="000A3880">
        <w:rPr>
          <w:rFonts w:ascii="Arial" w:hAnsi="Arial" w:cs="Arial"/>
          <w:sz w:val="16"/>
          <w:szCs w:val="16"/>
          <w:lang w:val="en-US"/>
        </w:rPr>
        <w:t>spicules</w:t>
      </w:r>
      <w:proofErr w:type="spellEnd"/>
      <w:r w:rsidRPr="000A3880">
        <w:rPr>
          <w:rFonts w:ascii="Arial" w:hAnsi="Arial" w:cs="Arial"/>
          <w:sz w:val="16"/>
          <w:szCs w:val="16"/>
          <w:lang w:val="en-US"/>
        </w:rPr>
        <w:t xml:space="preserve"> of bone or teeth) inside a patient’s open body cavity, wound or confined anatomical space where the hands or fingertips may not be completely visible at all times.</w:t>
      </w:r>
    </w:p>
  </w:footnote>
  <w:footnote w:id="3">
    <w:p w:rsidR="005E5FE8" w:rsidRDefault="005E5FE8" w:rsidP="00152836">
      <w:pPr>
        <w:pStyle w:val="FootnoteText"/>
      </w:pPr>
      <w:r>
        <w:rPr>
          <w:rStyle w:val="FootnoteReference"/>
        </w:rPr>
        <w:footnoteRef/>
      </w:r>
      <w:r>
        <w:t xml:space="preserve"> </w:t>
      </w:r>
      <w:r w:rsidRPr="00A548C5">
        <w:rPr>
          <w:rFonts w:ascii="Arial" w:hAnsi="Arial"/>
          <w:sz w:val="16"/>
          <w:szCs w:val="18"/>
        </w:rPr>
        <w:t>The National Law refers to the Health Practitioner Regulation National Law, as in force in each state and territory</w:t>
      </w:r>
    </w:p>
  </w:footnote>
  <w:footnote w:id="4">
    <w:p w:rsidR="005E5FE8" w:rsidRPr="007651A6" w:rsidRDefault="005E5FE8" w:rsidP="006E3AED">
      <w:pPr>
        <w:pStyle w:val="FootnoteText"/>
        <w:rPr>
          <w:sz w:val="18"/>
          <w:szCs w:val="18"/>
        </w:rPr>
      </w:pPr>
      <w:r w:rsidRPr="007651A6">
        <w:rPr>
          <w:rStyle w:val="FootnoteReference"/>
          <w:szCs w:val="18"/>
        </w:rPr>
        <w:footnoteRef/>
      </w:r>
      <w:r w:rsidRPr="007651A6">
        <w:rPr>
          <w:sz w:val="18"/>
          <w:szCs w:val="18"/>
        </w:rPr>
        <w:t xml:space="preserve"> </w:t>
      </w:r>
      <w:r w:rsidRPr="00A548C5">
        <w:rPr>
          <w:rFonts w:ascii="Arial" w:hAnsi="Arial"/>
          <w:sz w:val="16"/>
          <w:szCs w:val="18"/>
        </w:rPr>
        <w:t>S</w:t>
      </w:r>
      <w:r w:rsidRPr="00A548C5">
        <w:rPr>
          <w:rFonts w:ascii="Arial" w:hAnsi="Arial" w:cs="Arial"/>
          <w:sz w:val="16"/>
          <w:szCs w:val="18"/>
        </w:rPr>
        <w:t>.35(1)(c)(iii) of the National Law</w:t>
      </w:r>
    </w:p>
  </w:footnote>
  <w:footnote w:id="5">
    <w:p w:rsidR="005E5FE8" w:rsidRPr="00A548C5" w:rsidRDefault="005E5FE8" w:rsidP="006E3AED">
      <w:pPr>
        <w:pStyle w:val="FootnoteText"/>
        <w:rPr>
          <w:rFonts w:ascii="Arial" w:hAnsi="Arial"/>
          <w:sz w:val="16"/>
          <w:szCs w:val="18"/>
        </w:rPr>
      </w:pPr>
      <w:r w:rsidRPr="00A548C5">
        <w:rPr>
          <w:rFonts w:ascii="Arial" w:hAnsi="Arial"/>
          <w:sz w:val="16"/>
          <w:vertAlign w:val="superscript"/>
        </w:rPr>
        <w:footnoteRef/>
      </w:r>
      <w:r w:rsidRPr="00A548C5">
        <w:rPr>
          <w:rFonts w:ascii="Arial" w:hAnsi="Arial"/>
          <w:sz w:val="16"/>
          <w:vertAlign w:val="superscript"/>
        </w:rPr>
        <w:t xml:space="preserve"> </w:t>
      </w:r>
      <w:r w:rsidRPr="00A548C5">
        <w:rPr>
          <w:rFonts w:ascii="Arial" w:hAnsi="Arial"/>
          <w:sz w:val="16"/>
          <w:szCs w:val="18"/>
        </w:rPr>
        <w:t>S. 41 of the National Law</w:t>
      </w:r>
    </w:p>
  </w:footnote>
  <w:footnote w:id="6">
    <w:p w:rsidR="005E5FE8" w:rsidRPr="00A548C5" w:rsidRDefault="005E5FE8" w:rsidP="00C444F6">
      <w:pPr>
        <w:pStyle w:val="FootnoteText"/>
        <w:rPr>
          <w:rFonts w:ascii="Arial" w:hAnsi="Arial"/>
          <w:sz w:val="16"/>
        </w:rPr>
      </w:pPr>
      <w:r>
        <w:rPr>
          <w:rStyle w:val="FootnoteReference"/>
        </w:rPr>
        <w:footnoteRef/>
      </w:r>
      <w:r>
        <w:t xml:space="preserve"> </w:t>
      </w:r>
      <w:r w:rsidRPr="00A548C5">
        <w:rPr>
          <w:rFonts w:ascii="Arial" w:hAnsi="Arial"/>
          <w:sz w:val="16"/>
        </w:rPr>
        <w:t>S. 220 of the National Law</w:t>
      </w:r>
    </w:p>
  </w:footnote>
  <w:footnote w:id="7">
    <w:p w:rsidR="005E5FE8" w:rsidRDefault="005E5FE8" w:rsidP="009824C4">
      <w:pPr>
        <w:pStyle w:val="NormalWeb"/>
        <w:spacing w:before="2" w:after="2"/>
        <w:rPr>
          <w:rFonts w:ascii="Arial" w:hAnsi="Arial"/>
        </w:rPr>
      </w:pPr>
      <w:r>
        <w:rPr>
          <w:rStyle w:val="FootnoteReference"/>
        </w:rPr>
        <w:footnoteRef/>
      </w:r>
      <w:r>
        <w:t xml:space="preserve"> </w:t>
      </w:r>
      <w:r w:rsidRPr="00A548C5">
        <w:rPr>
          <w:rFonts w:ascii="Arial" w:hAnsi="Arial"/>
          <w:sz w:val="16"/>
          <w:lang w:val="en-US"/>
        </w:rPr>
        <w:t xml:space="preserve">For example, the current guidelines are titled </w:t>
      </w:r>
      <w:r w:rsidRPr="00A548C5">
        <w:rPr>
          <w:rFonts w:ascii="Arial" w:hAnsi="Arial"/>
          <w:i/>
          <w:sz w:val="16"/>
        </w:rPr>
        <w:t xml:space="preserve">Prevention and Control of Infection in Healthcare </w:t>
      </w:r>
      <w:r w:rsidRPr="00A548C5">
        <w:rPr>
          <w:rFonts w:ascii="Arial" w:hAnsi="Arial" w:cs="Arial"/>
          <w:sz w:val="16"/>
        </w:rPr>
        <w:t>(</w:t>
      </w:r>
      <w:hyperlink r:id="rId1" w:history="1">
        <w:r w:rsidRPr="00A548C5">
          <w:rPr>
            <w:rStyle w:val="Hyperlink"/>
            <w:rFonts w:ascii="Arial" w:hAnsi="Arial" w:cs="Arial"/>
            <w:sz w:val="16"/>
          </w:rPr>
          <w:t>http://www.nhmrc.gov.au/node/30290</w:t>
        </w:r>
      </w:hyperlink>
      <w:r w:rsidRPr="00A548C5">
        <w:rPr>
          <w:rFonts w:ascii="Arial" w:hAnsi="Arial" w:cs="Arial"/>
          <w:sz w:val="16"/>
        </w:rPr>
        <w:t>).</w:t>
      </w:r>
    </w:p>
    <w:p w:rsidR="005E5FE8" w:rsidRPr="009824C4" w:rsidRDefault="005E5FE8">
      <w:pPr>
        <w:pStyle w:val="FootnoteText"/>
        <w:rPr>
          <w:lang w:val="en-US"/>
        </w:rPr>
      </w:pPr>
    </w:p>
  </w:footnote>
  <w:footnote w:id="8">
    <w:p w:rsidR="005E5FE8" w:rsidRDefault="005E5FE8">
      <w:pPr>
        <w:pStyle w:val="FootnoteText"/>
        <w:rPr>
          <w:lang w:val="en-US"/>
        </w:rPr>
      </w:pPr>
      <w:r>
        <w:rPr>
          <w:rStyle w:val="FootnoteReference"/>
        </w:rPr>
        <w:footnoteRef/>
      </w:r>
      <w:r>
        <w:t xml:space="preserve"> </w:t>
      </w:r>
      <w:r w:rsidRPr="000A3880">
        <w:rPr>
          <w:rFonts w:ascii="Arial" w:hAnsi="Arial"/>
          <w:sz w:val="16"/>
        </w:rPr>
        <w:t>For example, d</w:t>
      </w:r>
      <w:proofErr w:type="spellStart"/>
      <w:r w:rsidRPr="000A3880">
        <w:rPr>
          <w:rFonts w:ascii="Arial" w:hAnsi="Arial"/>
          <w:sz w:val="16"/>
          <w:lang w:val="en-US"/>
        </w:rPr>
        <w:t>ental</w:t>
      </w:r>
      <w:proofErr w:type="spellEnd"/>
      <w:r w:rsidRPr="000A3880">
        <w:rPr>
          <w:rFonts w:ascii="Arial" w:hAnsi="Arial"/>
          <w:sz w:val="16"/>
          <w:lang w:val="en-US"/>
        </w:rPr>
        <w:t xml:space="preserve"> and midwifery students</w:t>
      </w:r>
      <w:r>
        <w:rPr>
          <w:lang w:val="en-US"/>
        </w:rPr>
        <w:t xml:space="preserve"> </w:t>
      </w:r>
    </w:p>
    <w:p w:rsidR="005E5FE8" w:rsidRPr="00166CC1" w:rsidRDefault="005E5FE8">
      <w:pPr>
        <w:pStyle w:val="FootnoteText"/>
        <w:rPr>
          <w:sz w:val="2"/>
          <w:szCs w:val="2"/>
          <w:lang w:val="en-US"/>
        </w:rPr>
      </w:pPr>
    </w:p>
  </w:footnote>
  <w:footnote w:id="9">
    <w:p w:rsidR="005E5FE8" w:rsidRPr="008F1397" w:rsidRDefault="005E5FE8">
      <w:pPr>
        <w:pStyle w:val="FootnoteText"/>
        <w:rPr>
          <w:lang w:val="en-US"/>
        </w:rPr>
      </w:pPr>
      <w:r>
        <w:rPr>
          <w:rStyle w:val="FootnoteReference"/>
        </w:rPr>
        <w:footnoteRef/>
      </w:r>
      <w:r>
        <w:t xml:space="preserve"> </w:t>
      </w:r>
      <w:r w:rsidRPr="000A3880">
        <w:rPr>
          <w:rFonts w:ascii="Arial" w:hAnsi="Arial"/>
          <w:sz w:val="16"/>
        </w:rPr>
        <w:t>For example, trainees in dentistry, midwifery, some medical specialties and podiatric surgery</w:t>
      </w:r>
    </w:p>
  </w:footnote>
  <w:footnote w:id="10">
    <w:p w:rsidR="005E5FE8" w:rsidRDefault="005E5FE8">
      <w:pPr>
        <w:pStyle w:val="FootnoteText"/>
        <w:rPr>
          <w:rFonts w:ascii="Arial" w:hAnsi="Arial" w:cs="Arial"/>
          <w:sz w:val="16"/>
          <w:szCs w:val="16"/>
          <w:lang w:val="en-US"/>
        </w:rPr>
      </w:pPr>
      <w:r>
        <w:rPr>
          <w:rStyle w:val="FootnoteReference"/>
        </w:rPr>
        <w:footnoteRef/>
      </w:r>
      <w:r>
        <w:t xml:space="preserve"> </w:t>
      </w:r>
      <w:r w:rsidRPr="00DF34BA">
        <w:rPr>
          <w:rFonts w:ascii="Arial" w:hAnsi="Arial"/>
          <w:sz w:val="16"/>
        </w:rPr>
        <w:t xml:space="preserve">The current CDNA guidelines </w:t>
      </w:r>
      <w:r w:rsidRPr="00DF34BA">
        <w:rPr>
          <w:rFonts w:ascii="Arial" w:eastAsia="Cambria" w:hAnsi="Arial" w:cs="Arial"/>
          <w:i/>
          <w:sz w:val="16"/>
          <w:szCs w:val="24"/>
        </w:rPr>
        <w:t>Australian National Guidelines for the Management of Health Care Workers known to be infected with blood-borne viruses</w:t>
      </w:r>
      <w:r>
        <w:rPr>
          <w:rFonts w:ascii="Arial" w:eastAsia="Cambria" w:hAnsi="Arial" w:cs="Arial"/>
          <w:i/>
          <w:sz w:val="16"/>
          <w:szCs w:val="24"/>
        </w:rPr>
        <w:t xml:space="preserve"> </w:t>
      </w:r>
      <w:r>
        <w:rPr>
          <w:rFonts w:ascii="Arial" w:eastAsia="Cambria" w:hAnsi="Arial" w:cs="Arial"/>
          <w:sz w:val="16"/>
          <w:szCs w:val="24"/>
        </w:rPr>
        <w:t xml:space="preserve"> at </w:t>
      </w:r>
      <w:hyperlink r:id="rId2" w:history="1">
        <w:r w:rsidRPr="00755F84">
          <w:rPr>
            <w:rStyle w:val="Hyperlink"/>
            <w:rFonts w:ascii="Arial" w:eastAsia="Cambria" w:hAnsi="Arial" w:cs="Arial"/>
            <w:sz w:val="16"/>
            <w:szCs w:val="24"/>
          </w:rPr>
          <w:t>http://www.health.gov.au/internet/main/publishing.nsf/Content/cda-cdna-bloodborne.htm</w:t>
        </w:r>
      </w:hyperlink>
      <w:r>
        <w:rPr>
          <w:rFonts w:ascii="Arial" w:eastAsia="Cambria" w:hAnsi="Arial" w:cs="Arial"/>
          <w:sz w:val="16"/>
          <w:szCs w:val="24"/>
        </w:rPr>
        <w:t xml:space="preserve"> define </w:t>
      </w:r>
      <w:r>
        <w:rPr>
          <w:rFonts w:ascii="Arial" w:hAnsi="Arial" w:cs="Arial"/>
          <w:sz w:val="16"/>
          <w:szCs w:val="16"/>
        </w:rPr>
        <w:t>an e</w:t>
      </w:r>
      <w:proofErr w:type="spellStart"/>
      <w:r w:rsidRPr="009D5E19">
        <w:rPr>
          <w:rFonts w:ascii="Arial" w:hAnsi="Arial" w:cs="Arial"/>
          <w:sz w:val="16"/>
          <w:szCs w:val="16"/>
          <w:lang w:val="en-US"/>
        </w:rPr>
        <w:t>xpos</w:t>
      </w:r>
      <w:bookmarkStart w:id="6" w:name="_GoBack"/>
      <w:bookmarkEnd w:id="6"/>
      <w:r w:rsidRPr="009D5E19">
        <w:rPr>
          <w:rFonts w:ascii="Arial" w:hAnsi="Arial" w:cs="Arial"/>
          <w:sz w:val="16"/>
          <w:szCs w:val="16"/>
          <w:lang w:val="en-US"/>
        </w:rPr>
        <w:t>ure</w:t>
      </w:r>
      <w:proofErr w:type="spellEnd"/>
      <w:r w:rsidRPr="009D5E19">
        <w:rPr>
          <w:rFonts w:ascii="Arial" w:hAnsi="Arial" w:cs="Arial"/>
          <w:sz w:val="16"/>
          <w:szCs w:val="16"/>
          <w:lang w:val="en-US"/>
        </w:rPr>
        <w:t xml:space="preserve"> prone procedure </w:t>
      </w:r>
      <w:r>
        <w:rPr>
          <w:rFonts w:ascii="Arial" w:hAnsi="Arial" w:cs="Arial"/>
          <w:sz w:val="16"/>
          <w:szCs w:val="16"/>
          <w:lang w:val="en-US"/>
        </w:rPr>
        <w:t>as</w:t>
      </w:r>
      <w:r w:rsidRPr="002C6139">
        <w:rPr>
          <w:rFonts w:ascii="Arial" w:hAnsi="Arial" w:cs="Arial"/>
          <w:sz w:val="16"/>
          <w:szCs w:val="16"/>
          <w:lang w:val="en-US"/>
        </w:rPr>
        <w:t xml:space="preserve"> a procedure where there is a risk of injury to the </w:t>
      </w:r>
      <w:r>
        <w:rPr>
          <w:rFonts w:ascii="Arial" w:hAnsi="Arial" w:cs="Arial"/>
          <w:sz w:val="16"/>
          <w:szCs w:val="16"/>
          <w:lang w:val="en-US"/>
        </w:rPr>
        <w:t>healthcare worker</w:t>
      </w:r>
      <w:r w:rsidRPr="002C6139">
        <w:rPr>
          <w:rFonts w:ascii="Arial" w:hAnsi="Arial" w:cs="Arial"/>
          <w:sz w:val="16"/>
          <w:szCs w:val="16"/>
          <w:lang w:val="en-US"/>
        </w:rPr>
        <w:t xml:space="preserve"> resulting in exposure of the patient’s open tissues to the blood of the worker. These procedures include those where the worker’s hands (whether gloved or not) may be in contact with sharp instruments, needle tips or sharp tissues (</w:t>
      </w:r>
      <w:proofErr w:type="spellStart"/>
      <w:r w:rsidRPr="002C6139">
        <w:rPr>
          <w:rFonts w:ascii="Arial" w:hAnsi="Arial" w:cs="Arial"/>
          <w:sz w:val="16"/>
          <w:szCs w:val="16"/>
          <w:lang w:val="en-US"/>
        </w:rPr>
        <w:t>spicules</w:t>
      </w:r>
      <w:proofErr w:type="spellEnd"/>
      <w:r w:rsidRPr="002C6139">
        <w:rPr>
          <w:rFonts w:ascii="Arial" w:hAnsi="Arial" w:cs="Arial"/>
          <w:sz w:val="16"/>
          <w:szCs w:val="16"/>
          <w:lang w:val="en-US"/>
        </w:rPr>
        <w:t xml:space="preserve"> of bone or teeth) inside a patient’s open body cavity, wound or confined anatomical space where the hands or fingertips may not be completely visible at all times.</w:t>
      </w:r>
    </w:p>
    <w:p w:rsidR="005E5FE8" w:rsidRPr="009D5E19" w:rsidRDefault="005E5FE8" w:rsidP="00DA460D">
      <w:pPr>
        <w:pStyle w:val="NormalWeb"/>
        <w:spacing w:before="2" w:afterLines="0"/>
        <w:rPr>
          <w:rFonts w:ascii="Arial" w:hAnsi="Arial" w:cs="Arial"/>
          <w:sz w:val="16"/>
          <w:szCs w:val="16"/>
        </w:rPr>
      </w:pPr>
      <w:r>
        <w:t xml:space="preserve"> </w:t>
      </w:r>
      <w:r w:rsidRPr="009D5E19">
        <w:rPr>
          <w:rFonts w:ascii="Arial" w:hAnsi="Arial" w:cs="Arial"/>
          <w:sz w:val="16"/>
          <w:szCs w:val="16"/>
        </w:rPr>
        <w:t xml:space="preserve"> </w:t>
      </w:r>
    </w:p>
    <w:p w:rsidR="005E5FE8" w:rsidRDefault="005E5FE8">
      <w:pPr>
        <w:pStyle w:val="FootnoteText"/>
      </w:pPr>
    </w:p>
  </w:footnote>
  <w:footnote w:id="11">
    <w:p w:rsidR="005E5FE8" w:rsidRPr="00C01AF4" w:rsidRDefault="005E5FE8" w:rsidP="008F1397">
      <w:pPr>
        <w:pStyle w:val="FootnoteText"/>
        <w:rPr>
          <w:rFonts w:ascii="Arial" w:hAnsi="Arial" w:cs="Arial"/>
          <w:sz w:val="18"/>
          <w:szCs w:val="18"/>
        </w:rPr>
      </w:pPr>
      <w:r w:rsidRPr="00D05ECB">
        <w:rPr>
          <w:rStyle w:val="FootnoteReference"/>
          <w:rFonts w:ascii="Arial" w:hAnsi="Arial" w:cs="Arial"/>
          <w:b/>
        </w:rPr>
        <w:footnoteRef/>
      </w:r>
      <w:r w:rsidRPr="00D05ECB">
        <w:rPr>
          <w:rFonts w:ascii="Arial" w:hAnsi="Arial" w:cs="Arial"/>
          <w:b/>
        </w:rPr>
        <w:t xml:space="preserve"> </w:t>
      </w:r>
      <w:r w:rsidRPr="00C01AF4">
        <w:rPr>
          <w:rFonts w:ascii="Arial" w:hAnsi="Arial" w:cs="Arial"/>
          <w:sz w:val="18"/>
          <w:szCs w:val="18"/>
        </w:rPr>
        <w:t>Section 176 of the National Law</w:t>
      </w:r>
    </w:p>
  </w:footnote>
  <w:footnote w:id="12">
    <w:p w:rsidR="005E5FE8" w:rsidRPr="00C01AF4" w:rsidRDefault="005E5FE8" w:rsidP="00B57DF9">
      <w:pPr>
        <w:pStyle w:val="FootnoteText"/>
        <w:spacing w:before="120"/>
        <w:rPr>
          <w:rFonts w:ascii="Arial" w:hAnsi="Arial" w:cs="Arial"/>
          <w:sz w:val="18"/>
          <w:szCs w:val="18"/>
        </w:rPr>
      </w:pPr>
      <w:r w:rsidRPr="00D05ECB">
        <w:rPr>
          <w:rStyle w:val="FootnoteReference"/>
          <w:rFonts w:ascii="Arial" w:hAnsi="Arial" w:cs="Arial"/>
          <w:b/>
        </w:rPr>
        <w:footnoteRef/>
      </w:r>
      <w:r w:rsidRPr="00C01AF4">
        <w:rPr>
          <w:rFonts w:ascii="Arial" w:hAnsi="Arial" w:cs="Arial"/>
          <w:sz w:val="18"/>
          <w:szCs w:val="18"/>
        </w:rPr>
        <w:t xml:space="preserve"> </w:t>
      </w:r>
      <w:r w:rsidRPr="00A548C5">
        <w:rPr>
          <w:rFonts w:ascii="Arial" w:hAnsi="Arial" w:cs="Arial"/>
          <w:sz w:val="16"/>
          <w:szCs w:val="18"/>
        </w:rPr>
        <w:t>Section 140 of the National Law</w:t>
      </w:r>
    </w:p>
  </w:footnote>
  <w:footnote w:id="13">
    <w:p w:rsidR="005E5FE8" w:rsidRPr="00995FE1" w:rsidRDefault="005E5FE8" w:rsidP="00B57DF9">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E8" w:rsidRPr="00315933" w:rsidRDefault="005E5FE8" w:rsidP="00900921">
    <w:pPr>
      <w:ind w:left="-1134" w:right="-56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E8" w:rsidRDefault="005E5FE8">
    <w:r w:rsidRPr="00816C55">
      <w:rPr>
        <w:noProof/>
        <w:lang w:val="en-US"/>
      </w:rPr>
      <w:drawing>
        <wp:anchor distT="0" distB="0" distL="114300" distR="114300" simplePos="0" relativeHeight="251657216" behindDoc="0" locked="0" layoutInCell="1" allowOverlap="1">
          <wp:simplePos x="0" y="0"/>
          <wp:positionH relativeFrom="column">
            <wp:posOffset>2718435</wp:posOffset>
          </wp:positionH>
          <wp:positionV relativeFrom="paragraph">
            <wp:posOffset>140335</wp:posOffset>
          </wp:positionV>
          <wp:extent cx="3844290" cy="1210945"/>
          <wp:effectExtent l="19050" t="0" r="3810" b="0"/>
          <wp:wrapSquare wrapText="bothSides"/>
          <wp:docPr id="3" name="Picture 1" descr="AHPRA logo. "/>
          <wp:cNvGraphicFramePr/>
          <a:graphic xmlns:a="http://schemas.openxmlformats.org/drawingml/2006/main">
            <a:graphicData uri="http://schemas.openxmlformats.org/drawingml/2006/picture">
              <pic:pic xmlns:pic="http://schemas.openxmlformats.org/drawingml/2006/picture">
                <pic:nvPicPr>
                  <pic:cNvPr id="3" name="Picture 2" descr="C:\Users\lbattenhaussen\AppData\Local\Microsoft\Windows\Temporary Internet Files\Content.Outlook\ZW7MYLST\Logos AHPRA + 14 Boards Colour JPG.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4290" cy="1210945"/>
                  </a:xfrm>
                  <a:prstGeom prst="rect">
                    <a:avLst/>
                  </a:prstGeom>
                  <a:noFill/>
                  <a:ln w="9525">
                    <a:noFill/>
                    <a:miter lim="800000"/>
                    <a:headEnd/>
                    <a:tailEnd/>
                  </a:ln>
                </pic:spPr>
              </pic:pic>
            </a:graphicData>
          </a:graphic>
        </wp:anchor>
      </w:drawing>
    </w:r>
  </w:p>
  <w:p w:rsidR="005E5FE8" w:rsidRDefault="005E5FE8" w:rsidP="00900921">
    <w:pPr>
      <w:ind w:left="-113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739"/>
    <w:multiLevelType w:val="multilevel"/>
    <w:tmpl w:val="0A384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205" w:hanging="405"/>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037DB3"/>
    <w:multiLevelType w:val="multilevel"/>
    <w:tmpl w:val="BE20683A"/>
    <w:numStyleLink w:val="AHPRANumberedheadinglist"/>
  </w:abstractNum>
  <w:abstractNum w:abstractNumId="2">
    <w:nsid w:val="0C862165"/>
    <w:multiLevelType w:val="multilevel"/>
    <w:tmpl w:val="BE20683A"/>
    <w:styleLink w:val="AHPRANumberedheadinglist"/>
    <w:lvl w:ilvl="0">
      <w:start w:val="1"/>
      <w:numFmt w:val="decimal"/>
      <w:pStyle w:val="AHPRANumberedsubheadinglevel1"/>
      <w:lvlText w:val="%1."/>
      <w:lvlJc w:val="left"/>
      <w:pPr>
        <w:ind w:left="6182"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nsid w:val="107B0452"/>
    <w:multiLevelType w:val="hybridMultilevel"/>
    <w:tmpl w:val="66B8288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9756234"/>
    <w:multiLevelType w:val="hybridMultilevel"/>
    <w:tmpl w:val="4C12A812"/>
    <w:lvl w:ilvl="0" w:tplc="04090001">
      <w:start w:val="1"/>
      <w:numFmt w:val="bullet"/>
      <w:lvlText w:val=""/>
      <w:lvlJc w:val="left"/>
      <w:pPr>
        <w:ind w:left="720" w:hanging="360"/>
      </w:pPr>
      <w:rPr>
        <w:rFonts w:ascii="Symbol" w:hAnsi="Symbol" w:hint="default"/>
      </w:rPr>
    </w:lvl>
    <w:lvl w:ilvl="1" w:tplc="CE7E3C8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008C6"/>
    <w:multiLevelType w:val="hybridMultilevel"/>
    <w:tmpl w:val="3DF8CC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CDC25C3"/>
    <w:multiLevelType w:val="hybridMultilevel"/>
    <w:tmpl w:val="D07498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F727341"/>
    <w:multiLevelType w:val="hybridMultilevel"/>
    <w:tmpl w:val="05781182"/>
    <w:lvl w:ilvl="0" w:tplc="33E660A8">
      <w:start w:val="1"/>
      <w:numFmt w:val="decimal"/>
      <w:pStyle w:val="AHPRAnumberedbulletpoin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192FC6"/>
    <w:multiLevelType w:val="hybridMultilevel"/>
    <w:tmpl w:val="7814F29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41738"/>
    <w:multiLevelType w:val="hybridMultilevel"/>
    <w:tmpl w:val="86C26ABA"/>
    <w:lvl w:ilvl="0" w:tplc="D34A7282">
      <w:start w:val="1"/>
      <w:numFmt w:val="bullet"/>
      <w:pStyle w:val="TableBullet"/>
      <w:lvlText w:val=""/>
      <w:lvlJc w:val="left"/>
      <w:pPr>
        <w:ind w:left="360" w:hanging="360"/>
      </w:pPr>
      <w:rPr>
        <w:rFonts w:ascii="Symbol" w:hAnsi="Symbol" w:hint="default"/>
        <w:color w:val="000000"/>
        <w:sz w:val="16"/>
      </w:rPr>
    </w:lvl>
    <w:lvl w:ilvl="1" w:tplc="1C1A87F4">
      <w:start w:val="1"/>
      <w:numFmt w:val="bullet"/>
      <w:pStyle w:val="TableDash"/>
      <w:lvlText w:val="–"/>
      <w:lvlJc w:val="left"/>
      <w:pPr>
        <w:tabs>
          <w:tab w:val="num" w:pos="576"/>
        </w:tabs>
        <w:ind w:left="432" w:hanging="21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3F5B6E"/>
    <w:multiLevelType w:val="multilevel"/>
    <w:tmpl w:val="C6A06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56442A06"/>
    <w:multiLevelType w:val="hybridMultilevel"/>
    <w:tmpl w:val="D07498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CDA4222"/>
    <w:multiLevelType w:val="hybridMultilevel"/>
    <w:tmpl w:val="D07498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1"/>
  </w:num>
  <w:num w:numId="3">
    <w:abstractNumId w:val="8"/>
  </w:num>
  <w:num w:numId="4">
    <w:abstractNumId w:val="0"/>
  </w:num>
  <w:num w:numId="5">
    <w:abstractNumId w:val="4"/>
  </w:num>
  <w:num w:numId="6">
    <w:abstractNumId w:val="5"/>
  </w:num>
  <w:num w:numId="7">
    <w:abstractNumId w:val="12"/>
  </w:num>
  <w:num w:numId="8">
    <w:abstractNumId w:val="3"/>
  </w:num>
  <w:num w:numId="9">
    <w:abstractNumId w:val="2"/>
  </w:num>
  <w:num w:numId="10">
    <w:abstractNumId w:val="1"/>
  </w:num>
  <w:num w:numId="11">
    <w:abstractNumId w:val="7"/>
    <w:lvlOverride w:ilvl="0">
      <w:startOverride w:val="1"/>
    </w:lvlOverride>
  </w:num>
  <w:num w:numId="12">
    <w:abstractNumId w:val="7"/>
  </w:num>
  <w:num w:numId="13">
    <w:abstractNumId w:val="13"/>
  </w:num>
  <w:num w:numId="14">
    <w:abstractNumId w:val="8"/>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026C48"/>
    <w:rsid w:val="000068EC"/>
    <w:rsid w:val="000143E9"/>
    <w:rsid w:val="00016DAE"/>
    <w:rsid w:val="000206A0"/>
    <w:rsid w:val="000233FE"/>
    <w:rsid w:val="000235E6"/>
    <w:rsid w:val="000249FC"/>
    <w:rsid w:val="000255B4"/>
    <w:rsid w:val="00026C48"/>
    <w:rsid w:val="0003691E"/>
    <w:rsid w:val="000372DC"/>
    <w:rsid w:val="000418A0"/>
    <w:rsid w:val="00042FA2"/>
    <w:rsid w:val="00046353"/>
    <w:rsid w:val="000516A3"/>
    <w:rsid w:val="00051EB9"/>
    <w:rsid w:val="00054332"/>
    <w:rsid w:val="00054CB0"/>
    <w:rsid w:val="000561E4"/>
    <w:rsid w:val="00056593"/>
    <w:rsid w:val="00056C9A"/>
    <w:rsid w:val="00057C4D"/>
    <w:rsid w:val="00061C98"/>
    <w:rsid w:val="000639C4"/>
    <w:rsid w:val="00064571"/>
    <w:rsid w:val="0006504E"/>
    <w:rsid w:val="0006512C"/>
    <w:rsid w:val="000668B9"/>
    <w:rsid w:val="00066BA3"/>
    <w:rsid w:val="00066DB0"/>
    <w:rsid w:val="0007465E"/>
    <w:rsid w:val="00074A2E"/>
    <w:rsid w:val="00075A09"/>
    <w:rsid w:val="000803A4"/>
    <w:rsid w:val="000808AC"/>
    <w:rsid w:val="00084B39"/>
    <w:rsid w:val="00086267"/>
    <w:rsid w:val="000917CC"/>
    <w:rsid w:val="0009487F"/>
    <w:rsid w:val="00095DB3"/>
    <w:rsid w:val="000967E5"/>
    <w:rsid w:val="000A0843"/>
    <w:rsid w:val="000A1F3A"/>
    <w:rsid w:val="000A3880"/>
    <w:rsid w:val="000B11DC"/>
    <w:rsid w:val="000B225F"/>
    <w:rsid w:val="000B5AEE"/>
    <w:rsid w:val="000C0813"/>
    <w:rsid w:val="000C5E4B"/>
    <w:rsid w:val="000D0625"/>
    <w:rsid w:val="000D0DA7"/>
    <w:rsid w:val="000D28C3"/>
    <w:rsid w:val="000D3261"/>
    <w:rsid w:val="000D4AA1"/>
    <w:rsid w:val="000D5089"/>
    <w:rsid w:val="000D7087"/>
    <w:rsid w:val="000E18D7"/>
    <w:rsid w:val="000E4EF4"/>
    <w:rsid w:val="000E616D"/>
    <w:rsid w:val="000E6CED"/>
    <w:rsid w:val="000F088B"/>
    <w:rsid w:val="00103849"/>
    <w:rsid w:val="0011291E"/>
    <w:rsid w:val="00113456"/>
    <w:rsid w:val="001136FB"/>
    <w:rsid w:val="0011551A"/>
    <w:rsid w:val="00117C6D"/>
    <w:rsid w:val="00135088"/>
    <w:rsid w:val="00137D4C"/>
    <w:rsid w:val="001420FB"/>
    <w:rsid w:val="00150A3E"/>
    <w:rsid w:val="00152836"/>
    <w:rsid w:val="00156849"/>
    <w:rsid w:val="001571CE"/>
    <w:rsid w:val="00163B14"/>
    <w:rsid w:val="00164A23"/>
    <w:rsid w:val="001652E7"/>
    <w:rsid w:val="00166CC1"/>
    <w:rsid w:val="00167B24"/>
    <w:rsid w:val="00171DCC"/>
    <w:rsid w:val="0017316C"/>
    <w:rsid w:val="0017421E"/>
    <w:rsid w:val="00175D22"/>
    <w:rsid w:val="00176540"/>
    <w:rsid w:val="001809D7"/>
    <w:rsid w:val="00181398"/>
    <w:rsid w:val="00185D27"/>
    <w:rsid w:val="0018674D"/>
    <w:rsid w:val="0018706F"/>
    <w:rsid w:val="00187889"/>
    <w:rsid w:val="00187FAE"/>
    <w:rsid w:val="001924E0"/>
    <w:rsid w:val="0019517F"/>
    <w:rsid w:val="001956DB"/>
    <w:rsid w:val="001A1105"/>
    <w:rsid w:val="001A67E6"/>
    <w:rsid w:val="001B1761"/>
    <w:rsid w:val="001B2823"/>
    <w:rsid w:val="001B5443"/>
    <w:rsid w:val="001B5EF0"/>
    <w:rsid w:val="001B65CB"/>
    <w:rsid w:val="001C1BCD"/>
    <w:rsid w:val="001C254C"/>
    <w:rsid w:val="001C3342"/>
    <w:rsid w:val="001C33C4"/>
    <w:rsid w:val="001C6DA2"/>
    <w:rsid w:val="001D2CDC"/>
    <w:rsid w:val="001D487E"/>
    <w:rsid w:val="001E2E20"/>
    <w:rsid w:val="001E35CF"/>
    <w:rsid w:val="001E4901"/>
    <w:rsid w:val="001E5BA4"/>
    <w:rsid w:val="001E7142"/>
    <w:rsid w:val="001F19FF"/>
    <w:rsid w:val="001F7359"/>
    <w:rsid w:val="001F782C"/>
    <w:rsid w:val="00200538"/>
    <w:rsid w:val="00201AAE"/>
    <w:rsid w:val="00202AA5"/>
    <w:rsid w:val="0020493E"/>
    <w:rsid w:val="00206DC6"/>
    <w:rsid w:val="00207B36"/>
    <w:rsid w:val="0021233E"/>
    <w:rsid w:val="002141ED"/>
    <w:rsid w:val="00216B00"/>
    <w:rsid w:val="00217956"/>
    <w:rsid w:val="00217F6D"/>
    <w:rsid w:val="002220FA"/>
    <w:rsid w:val="00223B67"/>
    <w:rsid w:val="00224C82"/>
    <w:rsid w:val="00224D70"/>
    <w:rsid w:val="002252F0"/>
    <w:rsid w:val="00227E1D"/>
    <w:rsid w:val="002300AE"/>
    <w:rsid w:val="00230BD8"/>
    <w:rsid w:val="00231DF5"/>
    <w:rsid w:val="00234680"/>
    <w:rsid w:val="0023538B"/>
    <w:rsid w:val="00237A63"/>
    <w:rsid w:val="00243DF4"/>
    <w:rsid w:val="0024443C"/>
    <w:rsid w:val="002519C7"/>
    <w:rsid w:val="00255873"/>
    <w:rsid w:val="002560C6"/>
    <w:rsid w:val="002657D9"/>
    <w:rsid w:val="002663A3"/>
    <w:rsid w:val="00271EB0"/>
    <w:rsid w:val="00272874"/>
    <w:rsid w:val="002773E6"/>
    <w:rsid w:val="0028080D"/>
    <w:rsid w:val="00280BC7"/>
    <w:rsid w:val="00282842"/>
    <w:rsid w:val="00283F96"/>
    <w:rsid w:val="00284E2C"/>
    <w:rsid w:val="00284FC6"/>
    <w:rsid w:val="00286104"/>
    <w:rsid w:val="002864FD"/>
    <w:rsid w:val="0029137D"/>
    <w:rsid w:val="0029201F"/>
    <w:rsid w:val="00292FFD"/>
    <w:rsid w:val="002949DD"/>
    <w:rsid w:val="00296BA3"/>
    <w:rsid w:val="002A02E6"/>
    <w:rsid w:val="002A0FB3"/>
    <w:rsid w:val="002A316B"/>
    <w:rsid w:val="002A36A4"/>
    <w:rsid w:val="002A6A86"/>
    <w:rsid w:val="002B5E4B"/>
    <w:rsid w:val="002B62C5"/>
    <w:rsid w:val="002B71E6"/>
    <w:rsid w:val="002C0FCC"/>
    <w:rsid w:val="002C12C8"/>
    <w:rsid w:val="002C19E9"/>
    <w:rsid w:val="002C309E"/>
    <w:rsid w:val="002C5FFB"/>
    <w:rsid w:val="002C6139"/>
    <w:rsid w:val="002D1623"/>
    <w:rsid w:val="002D3781"/>
    <w:rsid w:val="002D3CE2"/>
    <w:rsid w:val="002D6F05"/>
    <w:rsid w:val="002E1B0D"/>
    <w:rsid w:val="002E1CC7"/>
    <w:rsid w:val="002E54B4"/>
    <w:rsid w:val="002E553A"/>
    <w:rsid w:val="002E5FE2"/>
    <w:rsid w:val="002E6CD4"/>
    <w:rsid w:val="002E7060"/>
    <w:rsid w:val="002F04A5"/>
    <w:rsid w:val="002F2E67"/>
    <w:rsid w:val="0030026A"/>
    <w:rsid w:val="003031B5"/>
    <w:rsid w:val="00304045"/>
    <w:rsid w:val="00305E57"/>
    <w:rsid w:val="0030647E"/>
    <w:rsid w:val="003166BE"/>
    <w:rsid w:val="00317191"/>
    <w:rsid w:val="003176CC"/>
    <w:rsid w:val="003200B6"/>
    <w:rsid w:val="00321A04"/>
    <w:rsid w:val="00321AB4"/>
    <w:rsid w:val="0032562F"/>
    <w:rsid w:val="00330A14"/>
    <w:rsid w:val="00332BC5"/>
    <w:rsid w:val="00335A70"/>
    <w:rsid w:val="00335DFB"/>
    <w:rsid w:val="0033681E"/>
    <w:rsid w:val="0034406E"/>
    <w:rsid w:val="00344074"/>
    <w:rsid w:val="00346B5C"/>
    <w:rsid w:val="0035167B"/>
    <w:rsid w:val="00355FE2"/>
    <w:rsid w:val="0035678B"/>
    <w:rsid w:val="00357809"/>
    <w:rsid w:val="00363760"/>
    <w:rsid w:val="00366092"/>
    <w:rsid w:val="00370B14"/>
    <w:rsid w:val="0037592D"/>
    <w:rsid w:val="00375E0E"/>
    <w:rsid w:val="00375FD3"/>
    <w:rsid w:val="00377301"/>
    <w:rsid w:val="00377911"/>
    <w:rsid w:val="0038113A"/>
    <w:rsid w:val="003818F6"/>
    <w:rsid w:val="00391CD1"/>
    <w:rsid w:val="003958B6"/>
    <w:rsid w:val="003976B9"/>
    <w:rsid w:val="003A104F"/>
    <w:rsid w:val="003A106F"/>
    <w:rsid w:val="003A27A6"/>
    <w:rsid w:val="003A2BF1"/>
    <w:rsid w:val="003A2CDB"/>
    <w:rsid w:val="003A353F"/>
    <w:rsid w:val="003A44AF"/>
    <w:rsid w:val="003A7697"/>
    <w:rsid w:val="003B307E"/>
    <w:rsid w:val="003B38C8"/>
    <w:rsid w:val="003B394A"/>
    <w:rsid w:val="003C4780"/>
    <w:rsid w:val="003C58D7"/>
    <w:rsid w:val="003C6517"/>
    <w:rsid w:val="003C6631"/>
    <w:rsid w:val="003D0C2B"/>
    <w:rsid w:val="003D0E44"/>
    <w:rsid w:val="003D30D6"/>
    <w:rsid w:val="003D4182"/>
    <w:rsid w:val="003D4186"/>
    <w:rsid w:val="003D622B"/>
    <w:rsid w:val="003E1870"/>
    <w:rsid w:val="003E2842"/>
    <w:rsid w:val="003E3DA8"/>
    <w:rsid w:val="003E4C8B"/>
    <w:rsid w:val="003E5718"/>
    <w:rsid w:val="003E59A2"/>
    <w:rsid w:val="003E6026"/>
    <w:rsid w:val="003E7887"/>
    <w:rsid w:val="00404FB0"/>
    <w:rsid w:val="0041665B"/>
    <w:rsid w:val="004252BF"/>
    <w:rsid w:val="0042542B"/>
    <w:rsid w:val="00426E6B"/>
    <w:rsid w:val="004328EF"/>
    <w:rsid w:val="00432B07"/>
    <w:rsid w:val="00443A8B"/>
    <w:rsid w:val="00443E51"/>
    <w:rsid w:val="004453CA"/>
    <w:rsid w:val="0044695E"/>
    <w:rsid w:val="0045034D"/>
    <w:rsid w:val="00450B63"/>
    <w:rsid w:val="00452490"/>
    <w:rsid w:val="00455E0C"/>
    <w:rsid w:val="004575D8"/>
    <w:rsid w:val="00463D7C"/>
    <w:rsid w:val="00464583"/>
    <w:rsid w:val="00464E4F"/>
    <w:rsid w:val="0046500F"/>
    <w:rsid w:val="00472313"/>
    <w:rsid w:val="004742A1"/>
    <w:rsid w:val="004746E7"/>
    <w:rsid w:val="00475C4E"/>
    <w:rsid w:val="00475E6D"/>
    <w:rsid w:val="00476118"/>
    <w:rsid w:val="004763C2"/>
    <w:rsid w:val="0047650F"/>
    <w:rsid w:val="00480EC1"/>
    <w:rsid w:val="004829F2"/>
    <w:rsid w:val="004848E9"/>
    <w:rsid w:val="00484F04"/>
    <w:rsid w:val="004875CA"/>
    <w:rsid w:val="00487A81"/>
    <w:rsid w:val="00497001"/>
    <w:rsid w:val="004A16E2"/>
    <w:rsid w:val="004A3358"/>
    <w:rsid w:val="004A36A9"/>
    <w:rsid w:val="004B074D"/>
    <w:rsid w:val="004B0BA8"/>
    <w:rsid w:val="004B3037"/>
    <w:rsid w:val="004C28E0"/>
    <w:rsid w:val="004C3E04"/>
    <w:rsid w:val="004C66FA"/>
    <w:rsid w:val="004D3996"/>
    <w:rsid w:val="004E0302"/>
    <w:rsid w:val="004E0CF5"/>
    <w:rsid w:val="004E6AB3"/>
    <w:rsid w:val="004F119B"/>
    <w:rsid w:val="004F1B12"/>
    <w:rsid w:val="004F5DBD"/>
    <w:rsid w:val="004F6029"/>
    <w:rsid w:val="004F719C"/>
    <w:rsid w:val="00501420"/>
    <w:rsid w:val="00501F86"/>
    <w:rsid w:val="005055B0"/>
    <w:rsid w:val="00507272"/>
    <w:rsid w:val="0051128B"/>
    <w:rsid w:val="00513891"/>
    <w:rsid w:val="00514D73"/>
    <w:rsid w:val="005155EC"/>
    <w:rsid w:val="0051649C"/>
    <w:rsid w:val="00517A2F"/>
    <w:rsid w:val="00520B47"/>
    <w:rsid w:val="00521D98"/>
    <w:rsid w:val="00521E05"/>
    <w:rsid w:val="00523E37"/>
    <w:rsid w:val="00525E73"/>
    <w:rsid w:val="00526E44"/>
    <w:rsid w:val="00527756"/>
    <w:rsid w:val="0053227A"/>
    <w:rsid w:val="0053312C"/>
    <w:rsid w:val="00534AAF"/>
    <w:rsid w:val="00534F29"/>
    <w:rsid w:val="005377A4"/>
    <w:rsid w:val="00537CAE"/>
    <w:rsid w:val="0054042E"/>
    <w:rsid w:val="005428E3"/>
    <w:rsid w:val="00543436"/>
    <w:rsid w:val="0054530C"/>
    <w:rsid w:val="0055288D"/>
    <w:rsid w:val="0055400B"/>
    <w:rsid w:val="005579D3"/>
    <w:rsid w:val="00561789"/>
    <w:rsid w:val="00562221"/>
    <w:rsid w:val="005728B6"/>
    <w:rsid w:val="00575B16"/>
    <w:rsid w:val="005819BA"/>
    <w:rsid w:val="00582A77"/>
    <w:rsid w:val="00590321"/>
    <w:rsid w:val="00590802"/>
    <w:rsid w:val="00594440"/>
    <w:rsid w:val="00595039"/>
    <w:rsid w:val="00595306"/>
    <w:rsid w:val="00596382"/>
    <w:rsid w:val="005A1A91"/>
    <w:rsid w:val="005A2C82"/>
    <w:rsid w:val="005B1152"/>
    <w:rsid w:val="005B11D8"/>
    <w:rsid w:val="005B46EC"/>
    <w:rsid w:val="005B65D2"/>
    <w:rsid w:val="005B6721"/>
    <w:rsid w:val="005C0794"/>
    <w:rsid w:val="005C3E9E"/>
    <w:rsid w:val="005C3FF6"/>
    <w:rsid w:val="005C4024"/>
    <w:rsid w:val="005C5647"/>
    <w:rsid w:val="005C789D"/>
    <w:rsid w:val="005D2D03"/>
    <w:rsid w:val="005D3383"/>
    <w:rsid w:val="005E14E0"/>
    <w:rsid w:val="005E1ACB"/>
    <w:rsid w:val="005E5FE8"/>
    <w:rsid w:val="005F12CA"/>
    <w:rsid w:val="005F4E2A"/>
    <w:rsid w:val="005F64D0"/>
    <w:rsid w:val="005F7551"/>
    <w:rsid w:val="005F7F4F"/>
    <w:rsid w:val="00600171"/>
    <w:rsid w:val="00600DCB"/>
    <w:rsid w:val="0060168B"/>
    <w:rsid w:val="00601A01"/>
    <w:rsid w:val="00602E73"/>
    <w:rsid w:val="00603C10"/>
    <w:rsid w:val="006047A2"/>
    <w:rsid w:val="00605F42"/>
    <w:rsid w:val="00612829"/>
    <w:rsid w:val="006143B4"/>
    <w:rsid w:val="0061487C"/>
    <w:rsid w:val="00614B87"/>
    <w:rsid w:val="0061626B"/>
    <w:rsid w:val="0062142B"/>
    <w:rsid w:val="00621FAD"/>
    <w:rsid w:val="006236E6"/>
    <w:rsid w:val="0062398C"/>
    <w:rsid w:val="00623A78"/>
    <w:rsid w:val="00623D10"/>
    <w:rsid w:val="00626106"/>
    <w:rsid w:val="00626293"/>
    <w:rsid w:val="0062750A"/>
    <w:rsid w:val="006338BE"/>
    <w:rsid w:val="00634F48"/>
    <w:rsid w:val="00640983"/>
    <w:rsid w:val="00641EED"/>
    <w:rsid w:val="00642794"/>
    <w:rsid w:val="006444AD"/>
    <w:rsid w:val="006458CE"/>
    <w:rsid w:val="0064754C"/>
    <w:rsid w:val="00657A25"/>
    <w:rsid w:val="00663059"/>
    <w:rsid w:val="0066313D"/>
    <w:rsid w:val="00670D63"/>
    <w:rsid w:val="00671ADE"/>
    <w:rsid w:val="00672610"/>
    <w:rsid w:val="0067326B"/>
    <w:rsid w:val="00677E2C"/>
    <w:rsid w:val="00680241"/>
    <w:rsid w:val="00682000"/>
    <w:rsid w:val="00682354"/>
    <w:rsid w:val="0068280A"/>
    <w:rsid w:val="00686F90"/>
    <w:rsid w:val="00687F02"/>
    <w:rsid w:val="006905EA"/>
    <w:rsid w:val="006910FB"/>
    <w:rsid w:val="00691C35"/>
    <w:rsid w:val="006939D6"/>
    <w:rsid w:val="006969AB"/>
    <w:rsid w:val="006A00F5"/>
    <w:rsid w:val="006A0682"/>
    <w:rsid w:val="006A10E7"/>
    <w:rsid w:val="006A1A3B"/>
    <w:rsid w:val="006A35B3"/>
    <w:rsid w:val="006A54FF"/>
    <w:rsid w:val="006A7F81"/>
    <w:rsid w:val="006B1F0D"/>
    <w:rsid w:val="006B693D"/>
    <w:rsid w:val="006B72FD"/>
    <w:rsid w:val="006C3D2A"/>
    <w:rsid w:val="006C4127"/>
    <w:rsid w:val="006C6F68"/>
    <w:rsid w:val="006C7CD4"/>
    <w:rsid w:val="006D0E42"/>
    <w:rsid w:val="006D3F86"/>
    <w:rsid w:val="006D659D"/>
    <w:rsid w:val="006E06F1"/>
    <w:rsid w:val="006E1F8A"/>
    <w:rsid w:val="006E3AED"/>
    <w:rsid w:val="006E5344"/>
    <w:rsid w:val="006E55CE"/>
    <w:rsid w:val="006E76F2"/>
    <w:rsid w:val="006E7D6F"/>
    <w:rsid w:val="006E7DC1"/>
    <w:rsid w:val="006F26BA"/>
    <w:rsid w:val="006F3E31"/>
    <w:rsid w:val="007011BB"/>
    <w:rsid w:val="00701743"/>
    <w:rsid w:val="00706D1E"/>
    <w:rsid w:val="00707733"/>
    <w:rsid w:val="0071051D"/>
    <w:rsid w:val="00711A63"/>
    <w:rsid w:val="00712EC1"/>
    <w:rsid w:val="00720B93"/>
    <w:rsid w:val="00721373"/>
    <w:rsid w:val="00731C4D"/>
    <w:rsid w:val="00733009"/>
    <w:rsid w:val="0073306A"/>
    <w:rsid w:val="00734B4D"/>
    <w:rsid w:val="00735E80"/>
    <w:rsid w:val="007363C7"/>
    <w:rsid w:val="00742786"/>
    <w:rsid w:val="00743D7F"/>
    <w:rsid w:val="00743F29"/>
    <w:rsid w:val="00744ED7"/>
    <w:rsid w:val="007450C0"/>
    <w:rsid w:val="00745935"/>
    <w:rsid w:val="007544BC"/>
    <w:rsid w:val="00754969"/>
    <w:rsid w:val="007572E5"/>
    <w:rsid w:val="007619D0"/>
    <w:rsid w:val="00762D6A"/>
    <w:rsid w:val="00763CE4"/>
    <w:rsid w:val="007648B0"/>
    <w:rsid w:val="0076633C"/>
    <w:rsid w:val="007678F5"/>
    <w:rsid w:val="00767923"/>
    <w:rsid w:val="007726CA"/>
    <w:rsid w:val="007739B0"/>
    <w:rsid w:val="00773CBE"/>
    <w:rsid w:val="007757A9"/>
    <w:rsid w:val="00775DCA"/>
    <w:rsid w:val="00776B42"/>
    <w:rsid w:val="007836FD"/>
    <w:rsid w:val="00785D77"/>
    <w:rsid w:val="00787DF7"/>
    <w:rsid w:val="00793A7A"/>
    <w:rsid w:val="00794183"/>
    <w:rsid w:val="007948CE"/>
    <w:rsid w:val="00795236"/>
    <w:rsid w:val="00795504"/>
    <w:rsid w:val="0079798B"/>
    <w:rsid w:val="007A0E9F"/>
    <w:rsid w:val="007A4024"/>
    <w:rsid w:val="007A7EF1"/>
    <w:rsid w:val="007B21F0"/>
    <w:rsid w:val="007B4894"/>
    <w:rsid w:val="007C0CDD"/>
    <w:rsid w:val="007C1B52"/>
    <w:rsid w:val="007C3D17"/>
    <w:rsid w:val="007C44FF"/>
    <w:rsid w:val="007C520B"/>
    <w:rsid w:val="007C5A3F"/>
    <w:rsid w:val="007C7BF6"/>
    <w:rsid w:val="007D1E9D"/>
    <w:rsid w:val="007D7010"/>
    <w:rsid w:val="007D75F8"/>
    <w:rsid w:val="007E232D"/>
    <w:rsid w:val="007E566F"/>
    <w:rsid w:val="007F69C7"/>
    <w:rsid w:val="0080080A"/>
    <w:rsid w:val="00800ED5"/>
    <w:rsid w:val="008012E1"/>
    <w:rsid w:val="0080303C"/>
    <w:rsid w:val="00803E19"/>
    <w:rsid w:val="00806169"/>
    <w:rsid w:val="008075A5"/>
    <w:rsid w:val="00810FE6"/>
    <w:rsid w:val="008143EF"/>
    <w:rsid w:val="0082604C"/>
    <w:rsid w:val="00826057"/>
    <w:rsid w:val="0082649E"/>
    <w:rsid w:val="00826FA1"/>
    <w:rsid w:val="00827D14"/>
    <w:rsid w:val="00834C72"/>
    <w:rsid w:val="00835F63"/>
    <w:rsid w:val="00836C60"/>
    <w:rsid w:val="008413AC"/>
    <w:rsid w:val="00842E92"/>
    <w:rsid w:val="0084584D"/>
    <w:rsid w:val="00846262"/>
    <w:rsid w:val="008531FA"/>
    <w:rsid w:val="00854758"/>
    <w:rsid w:val="008554D7"/>
    <w:rsid w:val="00857927"/>
    <w:rsid w:val="00860E78"/>
    <w:rsid w:val="0086489B"/>
    <w:rsid w:val="008656F9"/>
    <w:rsid w:val="00866AFF"/>
    <w:rsid w:val="00871466"/>
    <w:rsid w:val="00873150"/>
    <w:rsid w:val="00877CBF"/>
    <w:rsid w:val="00880BE6"/>
    <w:rsid w:val="00881FC8"/>
    <w:rsid w:val="00882625"/>
    <w:rsid w:val="008842C3"/>
    <w:rsid w:val="008859FB"/>
    <w:rsid w:val="008878ED"/>
    <w:rsid w:val="00887D8F"/>
    <w:rsid w:val="008947AA"/>
    <w:rsid w:val="0089629B"/>
    <w:rsid w:val="008978B8"/>
    <w:rsid w:val="008A20AD"/>
    <w:rsid w:val="008A228F"/>
    <w:rsid w:val="008A5276"/>
    <w:rsid w:val="008A5775"/>
    <w:rsid w:val="008A6691"/>
    <w:rsid w:val="008B0717"/>
    <w:rsid w:val="008B3C27"/>
    <w:rsid w:val="008B5E82"/>
    <w:rsid w:val="008C2E87"/>
    <w:rsid w:val="008C3B96"/>
    <w:rsid w:val="008C3C03"/>
    <w:rsid w:val="008D1399"/>
    <w:rsid w:val="008D3A58"/>
    <w:rsid w:val="008D5A37"/>
    <w:rsid w:val="008D7630"/>
    <w:rsid w:val="008D7CF7"/>
    <w:rsid w:val="008E4607"/>
    <w:rsid w:val="008F1397"/>
    <w:rsid w:val="008F50B3"/>
    <w:rsid w:val="00900921"/>
    <w:rsid w:val="00901364"/>
    <w:rsid w:val="00905813"/>
    <w:rsid w:val="00906910"/>
    <w:rsid w:val="00910FD7"/>
    <w:rsid w:val="0091255B"/>
    <w:rsid w:val="0091436C"/>
    <w:rsid w:val="009146B9"/>
    <w:rsid w:val="00915B98"/>
    <w:rsid w:val="00922059"/>
    <w:rsid w:val="00923F78"/>
    <w:rsid w:val="0092664F"/>
    <w:rsid w:val="0093383A"/>
    <w:rsid w:val="00935D8F"/>
    <w:rsid w:val="00936232"/>
    <w:rsid w:val="00944642"/>
    <w:rsid w:val="00944F9D"/>
    <w:rsid w:val="00945AAA"/>
    <w:rsid w:val="00946867"/>
    <w:rsid w:val="00947555"/>
    <w:rsid w:val="00947E7D"/>
    <w:rsid w:val="00951FB2"/>
    <w:rsid w:val="00955C9F"/>
    <w:rsid w:val="0095637B"/>
    <w:rsid w:val="00957647"/>
    <w:rsid w:val="00975370"/>
    <w:rsid w:val="00981804"/>
    <w:rsid w:val="009824C4"/>
    <w:rsid w:val="0099007C"/>
    <w:rsid w:val="00993C8C"/>
    <w:rsid w:val="00995FE1"/>
    <w:rsid w:val="00996A3C"/>
    <w:rsid w:val="00996D18"/>
    <w:rsid w:val="009A0015"/>
    <w:rsid w:val="009A2990"/>
    <w:rsid w:val="009A5D58"/>
    <w:rsid w:val="009B04C3"/>
    <w:rsid w:val="009C2542"/>
    <w:rsid w:val="009C3D91"/>
    <w:rsid w:val="009C68B1"/>
    <w:rsid w:val="009D5C02"/>
    <w:rsid w:val="009D5E19"/>
    <w:rsid w:val="009D6085"/>
    <w:rsid w:val="009D63CB"/>
    <w:rsid w:val="009D6DBA"/>
    <w:rsid w:val="009E37A3"/>
    <w:rsid w:val="009F4080"/>
    <w:rsid w:val="009F488A"/>
    <w:rsid w:val="009F51B6"/>
    <w:rsid w:val="00A009C3"/>
    <w:rsid w:val="00A01D7C"/>
    <w:rsid w:val="00A02298"/>
    <w:rsid w:val="00A05787"/>
    <w:rsid w:val="00A15E79"/>
    <w:rsid w:val="00A16EB4"/>
    <w:rsid w:val="00A16F2B"/>
    <w:rsid w:val="00A22322"/>
    <w:rsid w:val="00A24C0C"/>
    <w:rsid w:val="00A24CA2"/>
    <w:rsid w:val="00A25C97"/>
    <w:rsid w:val="00A260D7"/>
    <w:rsid w:val="00A27515"/>
    <w:rsid w:val="00A3019A"/>
    <w:rsid w:val="00A304D1"/>
    <w:rsid w:val="00A46B6D"/>
    <w:rsid w:val="00A46EF2"/>
    <w:rsid w:val="00A500D5"/>
    <w:rsid w:val="00A51E77"/>
    <w:rsid w:val="00A528DC"/>
    <w:rsid w:val="00A548C5"/>
    <w:rsid w:val="00A60CAF"/>
    <w:rsid w:val="00A61C71"/>
    <w:rsid w:val="00A65314"/>
    <w:rsid w:val="00A709FD"/>
    <w:rsid w:val="00A70E93"/>
    <w:rsid w:val="00A76825"/>
    <w:rsid w:val="00A776E5"/>
    <w:rsid w:val="00A81518"/>
    <w:rsid w:val="00A84442"/>
    <w:rsid w:val="00A94A90"/>
    <w:rsid w:val="00A953A5"/>
    <w:rsid w:val="00AA45F0"/>
    <w:rsid w:val="00AA4A2B"/>
    <w:rsid w:val="00AA55D5"/>
    <w:rsid w:val="00AA68F7"/>
    <w:rsid w:val="00AB0D60"/>
    <w:rsid w:val="00AC37D8"/>
    <w:rsid w:val="00AC3F4C"/>
    <w:rsid w:val="00AC57EB"/>
    <w:rsid w:val="00AC591C"/>
    <w:rsid w:val="00AC597D"/>
    <w:rsid w:val="00AC6426"/>
    <w:rsid w:val="00AC769A"/>
    <w:rsid w:val="00AD0312"/>
    <w:rsid w:val="00AD1DE2"/>
    <w:rsid w:val="00AD7E6F"/>
    <w:rsid w:val="00AE052D"/>
    <w:rsid w:val="00AE450D"/>
    <w:rsid w:val="00AE5FA7"/>
    <w:rsid w:val="00AE6534"/>
    <w:rsid w:val="00AF231E"/>
    <w:rsid w:val="00AF6103"/>
    <w:rsid w:val="00B0485B"/>
    <w:rsid w:val="00B067E9"/>
    <w:rsid w:val="00B104F7"/>
    <w:rsid w:val="00B136DF"/>
    <w:rsid w:val="00B1469C"/>
    <w:rsid w:val="00B15571"/>
    <w:rsid w:val="00B20CDD"/>
    <w:rsid w:val="00B20E65"/>
    <w:rsid w:val="00B22270"/>
    <w:rsid w:val="00B24F94"/>
    <w:rsid w:val="00B27FBA"/>
    <w:rsid w:val="00B313EF"/>
    <w:rsid w:val="00B316C4"/>
    <w:rsid w:val="00B32E8C"/>
    <w:rsid w:val="00B33FC4"/>
    <w:rsid w:val="00B3441C"/>
    <w:rsid w:val="00B35822"/>
    <w:rsid w:val="00B373D2"/>
    <w:rsid w:val="00B41494"/>
    <w:rsid w:val="00B418F3"/>
    <w:rsid w:val="00B46535"/>
    <w:rsid w:val="00B5108B"/>
    <w:rsid w:val="00B51648"/>
    <w:rsid w:val="00B53368"/>
    <w:rsid w:val="00B53679"/>
    <w:rsid w:val="00B57DF9"/>
    <w:rsid w:val="00B60722"/>
    <w:rsid w:val="00B62076"/>
    <w:rsid w:val="00B65444"/>
    <w:rsid w:val="00B67A42"/>
    <w:rsid w:val="00B70A1F"/>
    <w:rsid w:val="00B7311C"/>
    <w:rsid w:val="00B756B4"/>
    <w:rsid w:val="00B96B26"/>
    <w:rsid w:val="00BA016B"/>
    <w:rsid w:val="00BA2045"/>
    <w:rsid w:val="00BA5657"/>
    <w:rsid w:val="00BA5BBD"/>
    <w:rsid w:val="00BA7218"/>
    <w:rsid w:val="00BB0CE8"/>
    <w:rsid w:val="00BB119A"/>
    <w:rsid w:val="00BB14E6"/>
    <w:rsid w:val="00BB1540"/>
    <w:rsid w:val="00BB76E0"/>
    <w:rsid w:val="00BC294E"/>
    <w:rsid w:val="00BC30A0"/>
    <w:rsid w:val="00BC7AFA"/>
    <w:rsid w:val="00BD0683"/>
    <w:rsid w:val="00BD1835"/>
    <w:rsid w:val="00BD3267"/>
    <w:rsid w:val="00BD34C6"/>
    <w:rsid w:val="00BD53BF"/>
    <w:rsid w:val="00BE5D10"/>
    <w:rsid w:val="00BE6114"/>
    <w:rsid w:val="00C00FF5"/>
    <w:rsid w:val="00C02DC1"/>
    <w:rsid w:val="00C02EC9"/>
    <w:rsid w:val="00C0406A"/>
    <w:rsid w:val="00C044EB"/>
    <w:rsid w:val="00C05523"/>
    <w:rsid w:val="00C06BC1"/>
    <w:rsid w:val="00C13C73"/>
    <w:rsid w:val="00C23A78"/>
    <w:rsid w:val="00C258BA"/>
    <w:rsid w:val="00C275B9"/>
    <w:rsid w:val="00C27C17"/>
    <w:rsid w:val="00C32D68"/>
    <w:rsid w:val="00C33868"/>
    <w:rsid w:val="00C40B2C"/>
    <w:rsid w:val="00C43DF3"/>
    <w:rsid w:val="00C4402E"/>
    <w:rsid w:val="00C444F6"/>
    <w:rsid w:val="00C4523E"/>
    <w:rsid w:val="00C50389"/>
    <w:rsid w:val="00C526AC"/>
    <w:rsid w:val="00C52AF4"/>
    <w:rsid w:val="00C53D5E"/>
    <w:rsid w:val="00C5613E"/>
    <w:rsid w:val="00C6053C"/>
    <w:rsid w:val="00C62C17"/>
    <w:rsid w:val="00C63692"/>
    <w:rsid w:val="00C67282"/>
    <w:rsid w:val="00C67B76"/>
    <w:rsid w:val="00C67FD6"/>
    <w:rsid w:val="00C71CE9"/>
    <w:rsid w:val="00C729F3"/>
    <w:rsid w:val="00C8025E"/>
    <w:rsid w:val="00C8070C"/>
    <w:rsid w:val="00C80F56"/>
    <w:rsid w:val="00C84039"/>
    <w:rsid w:val="00C84418"/>
    <w:rsid w:val="00C86005"/>
    <w:rsid w:val="00C875F8"/>
    <w:rsid w:val="00C878E3"/>
    <w:rsid w:val="00C91A06"/>
    <w:rsid w:val="00C929C2"/>
    <w:rsid w:val="00C93528"/>
    <w:rsid w:val="00C9464B"/>
    <w:rsid w:val="00C96E8B"/>
    <w:rsid w:val="00C97C40"/>
    <w:rsid w:val="00CA078A"/>
    <w:rsid w:val="00CA1626"/>
    <w:rsid w:val="00CA1F20"/>
    <w:rsid w:val="00CA6E99"/>
    <w:rsid w:val="00CB01C4"/>
    <w:rsid w:val="00CB4013"/>
    <w:rsid w:val="00CB423F"/>
    <w:rsid w:val="00CB4428"/>
    <w:rsid w:val="00CB559B"/>
    <w:rsid w:val="00CB57B6"/>
    <w:rsid w:val="00CB5E5A"/>
    <w:rsid w:val="00CB7251"/>
    <w:rsid w:val="00CB7BF1"/>
    <w:rsid w:val="00CC0B75"/>
    <w:rsid w:val="00CC7511"/>
    <w:rsid w:val="00CD1755"/>
    <w:rsid w:val="00CD1D6C"/>
    <w:rsid w:val="00CD25ED"/>
    <w:rsid w:val="00CD5901"/>
    <w:rsid w:val="00CD5A1E"/>
    <w:rsid w:val="00CE08CF"/>
    <w:rsid w:val="00CE5C64"/>
    <w:rsid w:val="00CE63C4"/>
    <w:rsid w:val="00CF0436"/>
    <w:rsid w:val="00CF171D"/>
    <w:rsid w:val="00D03BE3"/>
    <w:rsid w:val="00D04ED4"/>
    <w:rsid w:val="00D05D1A"/>
    <w:rsid w:val="00D061E1"/>
    <w:rsid w:val="00D115B9"/>
    <w:rsid w:val="00D20AB0"/>
    <w:rsid w:val="00D22184"/>
    <w:rsid w:val="00D22DF5"/>
    <w:rsid w:val="00D23546"/>
    <w:rsid w:val="00D2743A"/>
    <w:rsid w:val="00D334E1"/>
    <w:rsid w:val="00D34B34"/>
    <w:rsid w:val="00D44BD2"/>
    <w:rsid w:val="00D511FE"/>
    <w:rsid w:val="00D528B7"/>
    <w:rsid w:val="00D53293"/>
    <w:rsid w:val="00D55BFE"/>
    <w:rsid w:val="00D56BDD"/>
    <w:rsid w:val="00D56D09"/>
    <w:rsid w:val="00D57328"/>
    <w:rsid w:val="00D608ED"/>
    <w:rsid w:val="00D6233D"/>
    <w:rsid w:val="00D64BC4"/>
    <w:rsid w:val="00D72699"/>
    <w:rsid w:val="00D7595C"/>
    <w:rsid w:val="00D77DA5"/>
    <w:rsid w:val="00D80018"/>
    <w:rsid w:val="00D81B24"/>
    <w:rsid w:val="00D8609E"/>
    <w:rsid w:val="00D92429"/>
    <w:rsid w:val="00D92EE6"/>
    <w:rsid w:val="00D94C1E"/>
    <w:rsid w:val="00D95B9A"/>
    <w:rsid w:val="00D97F2C"/>
    <w:rsid w:val="00DA0A52"/>
    <w:rsid w:val="00DA0E4D"/>
    <w:rsid w:val="00DA20F8"/>
    <w:rsid w:val="00DA4547"/>
    <w:rsid w:val="00DA460D"/>
    <w:rsid w:val="00DB1DA1"/>
    <w:rsid w:val="00DB3773"/>
    <w:rsid w:val="00DB5837"/>
    <w:rsid w:val="00DC0049"/>
    <w:rsid w:val="00DC3F24"/>
    <w:rsid w:val="00DC77A6"/>
    <w:rsid w:val="00DD0CA0"/>
    <w:rsid w:val="00DD4AF8"/>
    <w:rsid w:val="00DD619E"/>
    <w:rsid w:val="00DD7132"/>
    <w:rsid w:val="00DE56E6"/>
    <w:rsid w:val="00DE583D"/>
    <w:rsid w:val="00DF3255"/>
    <w:rsid w:val="00DF34BA"/>
    <w:rsid w:val="00DF4B0C"/>
    <w:rsid w:val="00DF6065"/>
    <w:rsid w:val="00DF7A06"/>
    <w:rsid w:val="00E04EDB"/>
    <w:rsid w:val="00E052E5"/>
    <w:rsid w:val="00E07A61"/>
    <w:rsid w:val="00E12541"/>
    <w:rsid w:val="00E12FC1"/>
    <w:rsid w:val="00E1339B"/>
    <w:rsid w:val="00E16DAA"/>
    <w:rsid w:val="00E243F2"/>
    <w:rsid w:val="00E24415"/>
    <w:rsid w:val="00E27D74"/>
    <w:rsid w:val="00E31B8C"/>
    <w:rsid w:val="00E3404D"/>
    <w:rsid w:val="00E352AA"/>
    <w:rsid w:val="00E36229"/>
    <w:rsid w:val="00E379E7"/>
    <w:rsid w:val="00E40F05"/>
    <w:rsid w:val="00E41728"/>
    <w:rsid w:val="00E417AD"/>
    <w:rsid w:val="00E4407B"/>
    <w:rsid w:val="00E46CB7"/>
    <w:rsid w:val="00E50688"/>
    <w:rsid w:val="00E522DE"/>
    <w:rsid w:val="00E61965"/>
    <w:rsid w:val="00E620FC"/>
    <w:rsid w:val="00E646CE"/>
    <w:rsid w:val="00E66607"/>
    <w:rsid w:val="00E66BF3"/>
    <w:rsid w:val="00E71C2F"/>
    <w:rsid w:val="00E74004"/>
    <w:rsid w:val="00E74559"/>
    <w:rsid w:val="00E77D97"/>
    <w:rsid w:val="00E83FAD"/>
    <w:rsid w:val="00E87E21"/>
    <w:rsid w:val="00E95152"/>
    <w:rsid w:val="00E9660C"/>
    <w:rsid w:val="00EA7D5C"/>
    <w:rsid w:val="00EB2DF4"/>
    <w:rsid w:val="00EB6262"/>
    <w:rsid w:val="00EC07FC"/>
    <w:rsid w:val="00EC0A36"/>
    <w:rsid w:val="00EC177D"/>
    <w:rsid w:val="00EC27FB"/>
    <w:rsid w:val="00EC7A7E"/>
    <w:rsid w:val="00ED337F"/>
    <w:rsid w:val="00ED3745"/>
    <w:rsid w:val="00ED5BB1"/>
    <w:rsid w:val="00ED6E87"/>
    <w:rsid w:val="00EE073C"/>
    <w:rsid w:val="00EE0D26"/>
    <w:rsid w:val="00EE182E"/>
    <w:rsid w:val="00EF371C"/>
    <w:rsid w:val="00EF3E71"/>
    <w:rsid w:val="00EF50B3"/>
    <w:rsid w:val="00EF5378"/>
    <w:rsid w:val="00EF57C8"/>
    <w:rsid w:val="00EF6EEC"/>
    <w:rsid w:val="00F12A42"/>
    <w:rsid w:val="00F14240"/>
    <w:rsid w:val="00F1573F"/>
    <w:rsid w:val="00F20D14"/>
    <w:rsid w:val="00F30AD1"/>
    <w:rsid w:val="00F33EDF"/>
    <w:rsid w:val="00F35148"/>
    <w:rsid w:val="00F400E6"/>
    <w:rsid w:val="00F40646"/>
    <w:rsid w:val="00F41710"/>
    <w:rsid w:val="00F41A0E"/>
    <w:rsid w:val="00F41F58"/>
    <w:rsid w:val="00F4501E"/>
    <w:rsid w:val="00F50041"/>
    <w:rsid w:val="00F500B1"/>
    <w:rsid w:val="00F55135"/>
    <w:rsid w:val="00F56F60"/>
    <w:rsid w:val="00F5726E"/>
    <w:rsid w:val="00F60EA5"/>
    <w:rsid w:val="00F6161B"/>
    <w:rsid w:val="00F6470A"/>
    <w:rsid w:val="00F64E26"/>
    <w:rsid w:val="00F67074"/>
    <w:rsid w:val="00F70D5E"/>
    <w:rsid w:val="00F71142"/>
    <w:rsid w:val="00F71FDA"/>
    <w:rsid w:val="00F72B00"/>
    <w:rsid w:val="00F7477D"/>
    <w:rsid w:val="00F75F4A"/>
    <w:rsid w:val="00F8118C"/>
    <w:rsid w:val="00F84C99"/>
    <w:rsid w:val="00F904AA"/>
    <w:rsid w:val="00F909A7"/>
    <w:rsid w:val="00F94FC5"/>
    <w:rsid w:val="00FA37ED"/>
    <w:rsid w:val="00FA3E9E"/>
    <w:rsid w:val="00FA7A77"/>
    <w:rsid w:val="00FB1B05"/>
    <w:rsid w:val="00FB2A62"/>
    <w:rsid w:val="00FB4969"/>
    <w:rsid w:val="00FC3B6F"/>
    <w:rsid w:val="00FC620B"/>
    <w:rsid w:val="00FC7E2A"/>
    <w:rsid w:val="00FD0753"/>
    <w:rsid w:val="00FD2223"/>
    <w:rsid w:val="00FE17C2"/>
    <w:rsid w:val="00FE6413"/>
    <w:rsid w:val="00FF053C"/>
    <w:rsid w:val="00FF4A38"/>
    <w:rsid w:val="00FF71A5"/>
    <w:rsid w:val="00FF7AC7"/>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AAA"/>
    <w:pPr>
      <w:spacing w:after="200" w:line="276" w:lineRule="auto"/>
    </w:pPr>
    <w:rPr>
      <w:rFonts w:eastAsia="Times New Roman"/>
      <w:sz w:val="22"/>
      <w:szCs w:val="22"/>
      <w:lang w:val="en-AU"/>
    </w:rPr>
  </w:style>
  <w:style w:type="paragraph" w:styleId="Heading1">
    <w:name w:val="heading 1"/>
    <w:basedOn w:val="Normal"/>
    <w:next w:val="Normal"/>
    <w:link w:val="Heading1Char"/>
    <w:qFormat/>
    <w:locked/>
    <w:rsid w:val="0027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C444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B074D"/>
    <w:pPr>
      <w:spacing w:after="0" w:line="240" w:lineRule="auto"/>
    </w:pPr>
    <w:rPr>
      <w:rFonts w:ascii="Tahoma" w:eastAsia="Calibri" w:hAnsi="Tahoma"/>
      <w:sz w:val="16"/>
      <w:szCs w:val="16"/>
      <w:lang w:eastAsia="en-AU"/>
    </w:rPr>
  </w:style>
  <w:style w:type="character" w:customStyle="1" w:styleId="BalloonTextChar">
    <w:name w:val="Balloon Text Char"/>
    <w:basedOn w:val="DefaultParagraphFont"/>
    <w:link w:val="BalloonText"/>
    <w:uiPriority w:val="99"/>
    <w:semiHidden/>
    <w:rsid w:val="00584138"/>
    <w:rPr>
      <w:rFonts w:ascii="Lucida Grande" w:hAnsi="Lucida Grande"/>
      <w:sz w:val="18"/>
      <w:szCs w:val="18"/>
    </w:rPr>
  </w:style>
  <w:style w:type="character" w:customStyle="1" w:styleId="BalloonTextChar0">
    <w:name w:val="Balloon Text Char"/>
    <w:basedOn w:val="DefaultParagraphFont"/>
    <w:uiPriority w:val="99"/>
    <w:semiHidden/>
    <w:rsid w:val="00C907D8"/>
    <w:rPr>
      <w:rFonts w:ascii="Lucida Grande" w:hAnsi="Lucida Grande" w:cs="Lucida Grande"/>
      <w:sz w:val="18"/>
      <w:szCs w:val="18"/>
    </w:rPr>
  </w:style>
  <w:style w:type="character" w:customStyle="1" w:styleId="BalloonTextChar2">
    <w:name w:val="Balloon Text Char"/>
    <w:basedOn w:val="DefaultParagraphFont"/>
    <w:uiPriority w:val="99"/>
    <w:semiHidden/>
    <w:rsid w:val="00F63879"/>
    <w:rPr>
      <w:rFonts w:ascii="Lucida Grande" w:hAnsi="Lucida Grande"/>
      <w:sz w:val="18"/>
      <w:szCs w:val="18"/>
    </w:rPr>
  </w:style>
  <w:style w:type="paragraph" w:styleId="ListParagraph">
    <w:name w:val="List Paragraph"/>
    <w:basedOn w:val="Normal"/>
    <w:uiPriority w:val="1"/>
    <w:qFormat/>
    <w:rsid w:val="00DF4B0C"/>
    <w:pPr>
      <w:ind w:left="720"/>
      <w:contextualSpacing/>
    </w:pPr>
  </w:style>
  <w:style w:type="paragraph" w:customStyle="1" w:styleId="Default">
    <w:name w:val="Default"/>
    <w:rsid w:val="00DF4B0C"/>
    <w:pPr>
      <w:autoSpaceDE w:val="0"/>
      <w:autoSpaceDN w:val="0"/>
      <w:adjustRightInd w:val="0"/>
    </w:pPr>
    <w:rPr>
      <w:rFonts w:ascii="Arial Narrow" w:hAnsi="Arial Narrow" w:cs="Arial Narrow"/>
      <w:color w:val="000000"/>
      <w:lang w:val="en-AU" w:eastAsia="en-AU"/>
    </w:rPr>
  </w:style>
  <w:style w:type="table" w:styleId="TableGrid">
    <w:name w:val="Table Grid"/>
    <w:basedOn w:val="TableNormal"/>
    <w:uiPriority w:val="59"/>
    <w:rsid w:val="00776B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B559B"/>
    <w:rPr>
      <w:rFonts w:cs="Times New Roman"/>
      <w:color w:val="0000FF"/>
      <w:u w:val="single"/>
    </w:rPr>
  </w:style>
  <w:style w:type="paragraph" w:styleId="Header">
    <w:name w:val="header"/>
    <w:basedOn w:val="Normal"/>
    <w:link w:val="Head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HeaderChar">
    <w:name w:val="Header Char"/>
    <w:basedOn w:val="DefaultParagraphFont"/>
    <w:link w:val="Header"/>
    <w:uiPriority w:val="99"/>
    <w:locked/>
    <w:rsid w:val="00CB559B"/>
    <w:rPr>
      <w:rFonts w:cs="Times New Roman"/>
    </w:rPr>
  </w:style>
  <w:style w:type="paragraph" w:styleId="Footer">
    <w:name w:val="footer"/>
    <w:basedOn w:val="Normal"/>
    <w:link w:val="Foot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FooterChar">
    <w:name w:val="Footer Char"/>
    <w:basedOn w:val="DefaultParagraphFont"/>
    <w:link w:val="Footer"/>
    <w:uiPriority w:val="99"/>
    <w:locked/>
    <w:rsid w:val="00CB559B"/>
    <w:rPr>
      <w:rFonts w:cs="Times New Roman"/>
    </w:rPr>
  </w:style>
  <w:style w:type="character" w:customStyle="1" w:styleId="BalloonTextChar1">
    <w:name w:val="Balloon Text Char1"/>
    <w:basedOn w:val="DefaultParagraphFont"/>
    <w:link w:val="BalloonText"/>
    <w:uiPriority w:val="99"/>
    <w:semiHidden/>
    <w:locked/>
    <w:rsid w:val="004B074D"/>
    <w:rPr>
      <w:rFonts w:ascii="Tahoma" w:hAnsi="Tahoma" w:cs="Times New Roman"/>
      <w:sz w:val="16"/>
    </w:rPr>
  </w:style>
  <w:style w:type="character" w:styleId="CommentReference">
    <w:name w:val="annotation reference"/>
    <w:basedOn w:val="DefaultParagraphFont"/>
    <w:uiPriority w:val="99"/>
    <w:rsid w:val="00F40646"/>
    <w:rPr>
      <w:rFonts w:cs="Times New Roman"/>
      <w:sz w:val="16"/>
    </w:rPr>
  </w:style>
  <w:style w:type="paragraph" w:styleId="CommentText">
    <w:name w:val="annotation text"/>
    <w:basedOn w:val="Normal"/>
    <w:link w:val="CommentTextChar"/>
    <w:rsid w:val="00F40646"/>
    <w:pPr>
      <w:spacing w:line="240" w:lineRule="auto"/>
    </w:pPr>
    <w:rPr>
      <w:rFonts w:eastAsia="Calibri"/>
      <w:sz w:val="20"/>
      <w:szCs w:val="20"/>
      <w:lang w:eastAsia="en-AU"/>
    </w:rPr>
  </w:style>
  <w:style w:type="character" w:customStyle="1" w:styleId="CommentTextChar">
    <w:name w:val="Comment Text Char"/>
    <w:basedOn w:val="DefaultParagraphFont"/>
    <w:link w:val="CommentText"/>
    <w:locked/>
    <w:rsid w:val="00F40646"/>
    <w:rPr>
      <w:rFonts w:cs="Times New Roman"/>
      <w:sz w:val="20"/>
    </w:rPr>
  </w:style>
  <w:style w:type="paragraph" w:styleId="CommentSubject">
    <w:name w:val="annotation subject"/>
    <w:basedOn w:val="CommentText"/>
    <w:next w:val="CommentText"/>
    <w:link w:val="CommentSubjectChar"/>
    <w:uiPriority w:val="99"/>
    <w:semiHidden/>
    <w:rsid w:val="00F40646"/>
    <w:rPr>
      <w:b/>
      <w:bCs/>
    </w:rPr>
  </w:style>
  <w:style w:type="character" w:customStyle="1" w:styleId="CommentSubjectChar">
    <w:name w:val="Comment Subject Char"/>
    <w:basedOn w:val="CommentTextChar"/>
    <w:link w:val="CommentSubject"/>
    <w:uiPriority w:val="99"/>
    <w:semiHidden/>
    <w:locked/>
    <w:rsid w:val="00F40646"/>
    <w:rPr>
      <w:rFonts w:cs="Times New Roman"/>
      <w:b/>
      <w:sz w:val="20"/>
    </w:rPr>
  </w:style>
  <w:style w:type="paragraph" w:customStyle="1" w:styleId="AHPRAHeadline">
    <w:name w:val="AHPRA Headline"/>
    <w:basedOn w:val="Normal"/>
    <w:qFormat/>
    <w:rsid w:val="002E1B0D"/>
    <w:pPr>
      <w:spacing w:line="240" w:lineRule="auto"/>
    </w:pPr>
    <w:rPr>
      <w:rFonts w:ascii="Arial" w:hAnsi="Arial"/>
      <w:color w:val="008EC4"/>
      <w:sz w:val="28"/>
      <w:szCs w:val="24"/>
      <w:lang w:val="en-US"/>
    </w:rPr>
  </w:style>
  <w:style w:type="paragraph" w:customStyle="1" w:styleId="AHPRATitle">
    <w:name w:val="AHPRA Title"/>
    <w:basedOn w:val="Normal"/>
    <w:next w:val="AHPRAHeadline"/>
    <w:uiPriority w:val="99"/>
    <w:rsid w:val="002E1B0D"/>
    <w:pPr>
      <w:spacing w:line="240" w:lineRule="auto"/>
      <w:outlineLvl w:val="0"/>
    </w:pPr>
    <w:rPr>
      <w:rFonts w:ascii="Arial" w:hAnsi="Arial" w:cs="Arial"/>
      <w:color w:val="808080"/>
      <w:sz w:val="44"/>
      <w:szCs w:val="52"/>
    </w:rPr>
  </w:style>
  <w:style w:type="paragraph" w:customStyle="1" w:styleId="AHPRASubhead">
    <w:name w:val="AHPRA Subhead"/>
    <w:basedOn w:val="Normal"/>
    <w:qFormat/>
    <w:rsid w:val="002E1B0D"/>
    <w:pPr>
      <w:spacing w:line="240" w:lineRule="auto"/>
    </w:pPr>
    <w:rPr>
      <w:rFonts w:ascii="Arial" w:hAnsi="Arial"/>
      <w:b/>
      <w:color w:val="008EC4"/>
      <w:sz w:val="20"/>
      <w:szCs w:val="24"/>
      <w:lang w:val="en-US"/>
    </w:rPr>
  </w:style>
  <w:style w:type="paragraph" w:styleId="Revision">
    <w:name w:val="Revision"/>
    <w:hidden/>
    <w:uiPriority w:val="99"/>
    <w:semiHidden/>
    <w:rsid w:val="00E61965"/>
    <w:rPr>
      <w:rFonts w:eastAsia="Times New Roman"/>
      <w:sz w:val="22"/>
      <w:szCs w:val="22"/>
      <w:lang w:val="en-AU"/>
    </w:rPr>
  </w:style>
  <w:style w:type="paragraph" w:customStyle="1" w:styleId="TableBullet">
    <w:name w:val="TableBullet"/>
    <w:basedOn w:val="Normal"/>
    <w:uiPriority w:val="99"/>
    <w:rsid w:val="004F119B"/>
    <w:pPr>
      <w:keepNext/>
      <w:numPr>
        <w:numId w:val="1"/>
      </w:numPr>
      <w:tabs>
        <w:tab w:val="left" w:pos="0"/>
      </w:tabs>
      <w:spacing w:before="120" w:after="120" w:line="240" w:lineRule="auto"/>
    </w:pPr>
    <w:rPr>
      <w:rFonts w:ascii="Helvetica Narrow" w:eastAsia="Calibri" w:hAnsi="Helvetica Narrow"/>
      <w:color w:val="000000"/>
      <w:sz w:val="20"/>
      <w:szCs w:val="24"/>
    </w:rPr>
  </w:style>
  <w:style w:type="paragraph" w:customStyle="1" w:styleId="TableDash">
    <w:name w:val="TableDash"/>
    <w:basedOn w:val="Normal"/>
    <w:uiPriority w:val="99"/>
    <w:rsid w:val="004F119B"/>
    <w:pPr>
      <w:keepNext/>
      <w:numPr>
        <w:ilvl w:val="1"/>
        <w:numId w:val="1"/>
      </w:numPr>
      <w:tabs>
        <w:tab w:val="left" w:pos="432"/>
      </w:tabs>
      <w:spacing w:before="120" w:after="120" w:line="240" w:lineRule="auto"/>
    </w:pPr>
    <w:rPr>
      <w:rFonts w:ascii="Helvetica Narrow" w:eastAsia="Calibri" w:hAnsi="Helvetica Narrow"/>
      <w:color w:val="000000"/>
      <w:sz w:val="20"/>
      <w:szCs w:val="24"/>
    </w:rPr>
  </w:style>
  <w:style w:type="paragraph" w:customStyle="1" w:styleId="TableText">
    <w:name w:val="TableText"/>
    <w:basedOn w:val="Normal"/>
    <w:uiPriority w:val="99"/>
    <w:rsid w:val="004F119B"/>
    <w:pPr>
      <w:keepNext/>
      <w:spacing w:before="120" w:after="120" w:line="240" w:lineRule="auto"/>
    </w:pPr>
    <w:rPr>
      <w:rFonts w:ascii="Helvetica Narrow" w:eastAsia="Calibri" w:hAnsi="Helvetica Narrow"/>
      <w:color w:val="000000"/>
      <w:sz w:val="20"/>
      <w:szCs w:val="24"/>
    </w:rPr>
  </w:style>
  <w:style w:type="paragraph" w:customStyle="1" w:styleId="para">
    <w:name w:val="para"/>
    <w:uiPriority w:val="99"/>
    <w:rsid w:val="007C520B"/>
    <w:pPr>
      <w:spacing w:after="240"/>
      <w:ind w:left="425"/>
    </w:pPr>
    <w:rPr>
      <w:rFonts w:ascii="Arial" w:hAnsi="Arial"/>
      <w:szCs w:val="28"/>
      <w:lang w:val="en-AU"/>
    </w:rPr>
  </w:style>
  <w:style w:type="paragraph" w:customStyle="1" w:styleId="Body1">
    <w:name w:val="Body 1"/>
    <w:uiPriority w:val="99"/>
    <w:rsid w:val="00AA4A2B"/>
    <w:pPr>
      <w:spacing w:after="200" w:line="276" w:lineRule="auto"/>
      <w:outlineLvl w:val="0"/>
    </w:pPr>
    <w:rPr>
      <w:rFonts w:ascii="Helvetica" w:eastAsia="Arial Unicode MS" w:hAnsi="Helvetica"/>
      <w:color w:val="000000"/>
      <w:sz w:val="22"/>
      <w:u w:color="000000"/>
      <w:lang w:val="en-AU" w:eastAsia="en-AU"/>
    </w:rPr>
  </w:style>
  <w:style w:type="paragraph" w:customStyle="1" w:styleId="AHPRAbodytext">
    <w:name w:val="AHPRA body text"/>
    <w:basedOn w:val="Normal"/>
    <w:rsid w:val="008A6691"/>
    <w:pPr>
      <w:spacing w:line="240" w:lineRule="auto"/>
    </w:pPr>
    <w:rPr>
      <w:rFonts w:ascii="Arial" w:eastAsia="Cambria" w:hAnsi="Arial" w:cs="Arial"/>
      <w:sz w:val="20"/>
      <w:szCs w:val="24"/>
      <w:lang w:val="en-US"/>
    </w:rPr>
  </w:style>
  <w:style w:type="paragraph" w:customStyle="1" w:styleId="AHPRAbody">
    <w:name w:val="AHPRA body"/>
    <w:basedOn w:val="Normal"/>
    <w:link w:val="AHPRAbodyChar"/>
    <w:qFormat/>
    <w:rsid w:val="008A6691"/>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8A6691"/>
    <w:rPr>
      <w:rFonts w:ascii="Arial" w:eastAsia="Cambria" w:hAnsi="Arial" w:cs="Arial"/>
      <w:szCs w:val="24"/>
      <w:lang w:val="en-AU"/>
    </w:rPr>
  </w:style>
  <w:style w:type="paragraph" w:customStyle="1" w:styleId="AHPRAfirstpagefooter">
    <w:name w:val="AHPRA first page footer"/>
    <w:basedOn w:val="Normal"/>
    <w:rsid w:val="008A6691"/>
    <w:pPr>
      <w:spacing w:after="0" w:line="240" w:lineRule="auto"/>
      <w:jc w:val="center"/>
    </w:pPr>
    <w:rPr>
      <w:rFonts w:ascii="Arial" w:eastAsia="Cambria" w:hAnsi="Arial" w:cs="Arial"/>
      <w:b/>
      <w:color w:val="5F6062"/>
      <w:sz w:val="18"/>
      <w:szCs w:val="20"/>
    </w:rPr>
  </w:style>
  <w:style w:type="paragraph" w:customStyle="1" w:styleId="AHPRASubheadinglevel3">
    <w:name w:val="AHPRA Subheading level 3"/>
    <w:basedOn w:val="Normal"/>
    <w:next w:val="Normal"/>
    <w:qFormat/>
    <w:rsid w:val="008A6691"/>
    <w:pPr>
      <w:spacing w:before="200" w:line="240" w:lineRule="auto"/>
    </w:pPr>
    <w:rPr>
      <w:rFonts w:ascii="Arial" w:eastAsia="Cambria" w:hAnsi="Arial"/>
      <w:i/>
      <w:color w:val="008EC4"/>
      <w:sz w:val="20"/>
      <w:szCs w:val="24"/>
      <w:lang w:val="en-US"/>
    </w:rPr>
  </w:style>
  <w:style w:type="paragraph" w:customStyle="1" w:styleId="AHPRASubheading">
    <w:name w:val="AHPRA Subheading"/>
    <w:basedOn w:val="Normal"/>
    <w:qFormat/>
    <w:rsid w:val="00B32E8C"/>
    <w:pPr>
      <w:spacing w:before="200" w:line="240" w:lineRule="auto"/>
    </w:pPr>
    <w:rPr>
      <w:rFonts w:ascii="Arial" w:eastAsia="Cambria" w:hAnsi="Arial"/>
      <w:b/>
      <w:color w:val="008EC4"/>
      <w:sz w:val="20"/>
      <w:szCs w:val="24"/>
      <w:lang w:val="en-US"/>
    </w:rPr>
  </w:style>
  <w:style w:type="paragraph" w:customStyle="1" w:styleId="AHPRANumberedlistlevel2">
    <w:name w:val="AHPRA Numbered list level 2"/>
    <w:basedOn w:val="Normal"/>
    <w:rsid w:val="00C6053C"/>
    <w:pPr>
      <w:spacing w:after="0" w:line="240" w:lineRule="auto"/>
      <w:ind w:left="737" w:hanging="368"/>
    </w:pPr>
    <w:rPr>
      <w:rFonts w:ascii="Arial" w:eastAsia="Cambria" w:hAnsi="Arial" w:cs="Arial"/>
      <w:sz w:val="20"/>
      <w:szCs w:val="20"/>
      <w:lang w:val="en-US"/>
    </w:rPr>
  </w:style>
  <w:style w:type="paragraph" w:customStyle="1" w:styleId="AHPRADocumenttitle">
    <w:name w:val="AHPRA Document title"/>
    <w:basedOn w:val="Normal"/>
    <w:rsid w:val="00F7477D"/>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qFormat/>
    <w:rsid w:val="00F7477D"/>
    <w:pPr>
      <w:spacing w:line="240" w:lineRule="auto"/>
      <w:outlineLvl w:val="0"/>
    </w:pPr>
    <w:rPr>
      <w:rFonts w:ascii="Arial" w:eastAsia="Cambria" w:hAnsi="Arial" w:cs="Arial"/>
      <w:color w:val="808080"/>
      <w:sz w:val="28"/>
      <w:szCs w:val="52"/>
      <w:lang w:val="en-US"/>
    </w:rPr>
  </w:style>
  <w:style w:type="paragraph" w:styleId="FootnoteText">
    <w:name w:val="footnote text"/>
    <w:basedOn w:val="Normal"/>
    <w:link w:val="FootnoteTextChar"/>
    <w:uiPriority w:val="99"/>
    <w:unhideWhenUsed/>
    <w:rsid w:val="00F7477D"/>
    <w:pPr>
      <w:spacing w:after="0" w:line="240" w:lineRule="auto"/>
    </w:pPr>
    <w:rPr>
      <w:sz w:val="20"/>
      <w:szCs w:val="20"/>
    </w:rPr>
  </w:style>
  <w:style w:type="character" w:customStyle="1" w:styleId="FootnoteTextChar">
    <w:name w:val="Footnote Text Char"/>
    <w:basedOn w:val="DefaultParagraphFont"/>
    <w:link w:val="FootnoteText"/>
    <w:uiPriority w:val="99"/>
    <w:rsid w:val="00F7477D"/>
    <w:rPr>
      <w:rFonts w:eastAsia="Times New Roman"/>
      <w:lang w:val="en-AU"/>
    </w:rPr>
  </w:style>
  <w:style w:type="character" w:styleId="FootnoteReference">
    <w:name w:val="footnote reference"/>
    <w:basedOn w:val="DefaultParagraphFont"/>
    <w:uiPriority w:val="99"/>
    <w:unhideWhenUsed/>
    <w:rsid w:val="00F7477D"/>
    <w:rPr>
      <w:vertAlign w:val="superscript"/>
    </w:rPr>
  </w:style>
  <w:style w:type="paragraph" w:styleId="EndnoteText">
    <w:name w:val="endnote text"/>
    <w:basedOn w:val="Normal"/>
    <w:link w:val="EndnoteTextChar"/>
    <w:uiPriority w:val="99"/>
    <w:semiHidden/>
    <w:unhideWhenUsed/>
    <w:rsid w:val="002728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874"/>
    <w:rPr>
      <w:rFonts w:eastAsia="Times New Roman"/>
      <w:lang w:val="en-AU"/>
    </w:rPr>
  </w:style>
  <w:style w:type="character" w:styleId="EndnoteReference">
    <w:name w:val="endnote reference"/>
    <w:basedOn w:val="DefaultParagraphFont"/>
    <w:uiPriority w:val="99"/>
    <w:semiHidden/>
    <w:unhideWhenUsed/>
    <w:rsid w:val="00272874"/>
    <w:rPr>
      <w:vertAlign w:val="superscript"/>
    </w:rPr>
  </w:style>
  <w:style w:type="character" w:customStyle="1" w:styleId="Heading1Char">
    <w:name w:val="Heading 1 Char"/>
    <w:basedOn w:val="DefaultParagraphFont"/>
    <w:link w:val="Heading1"/>
    <w:rsid w:val="00272874"/>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semiHidden/>
    <w:unhideWhenUsed/>
    <w:qFormat/>
    <w:rsid w:val="00272874"/>
    <w:pPr>
      <w:outlineLvl w:val="9"/>
    </w:pPr>
    <w:rPr>
      <w:lang w:val="en-US"/>
    </w:rPr>
  </w:style>
  <w:style w:type="paragraph" w:styleId="TOC1">
    <w:name w:val="toc 1"/>
    <w:basedOn w:val="Normal"/>
    <w:next w:val="Normal"/>
    <w:autoRedefine/>
    <w:uiPriority w:val="39"/>
    <w:locked/>
    <w:rsid w:val="00272874"/>
    <w:pPr>
      <w:spacing w:after="100"/>
    </w:pPr>
  </w:style>
  <w:style w:type="character" w:styleId="FollowedHyperlink">
    <w:name w:val="FollowedHyperlink"/>
    <w:basedOn w:val="DefaultParagraphFont"/>
    <w:uiPriority w:val="99"/>
    <w:semiHidden/>
    <w:unhideWhenUsed/>
    <w:rsid w:val="00A27515"/>
    <w:rPr>
      <w:color w:val="800080" w:themeColor="followedHyperlink"/>
      <w:u w:val="single"/>
    </w:rPr>
  </w:style>
  <w:style w:type="paragraph" w:customStyle="1" w:styleId="AHPRAnumberedbulletpoint">
    <w:name w:val="AHPRA numbered bullet point"/>
    <w:basedOn w:val="Normal"/>
    <w:rsid w:val="003D622B"/>
    <w:pPr>
      <w:numPr>
        <w:numId w:val="12"/>
      </w:numPr>
      <w:spacing w:after="0" w:line="240" w:lineRule="auto"/>
    </w:pPr>
    <w:rPr>
      <w:rFonts w:ascii="Arial" w:eastAsia="Cambria" w:hAnsi="Arial"/>
      <w:sz w:val="20"/>
      <w:szCs w:val="24"/>
      <w:lang w:val="en-US"/>
    </w:rPr>
  </w:style>
  <w:style w:type="paragraph" w:styleId="NormalWeb">
    <w:name w:val="Normal (Web)"/>
    <w:basedOn w:val="Normal"/>
    <w:uiPriority w:val="99"/>
    <w:rsid w:val="003D622B"/>
    <w:pPr>
      <w:spacing w:beforeLines="1" w:afterLines="1" w:line="240" w:lineRule="auto"/>
    </w:pPr>
    <w:rPr>
      <w:rFonts w:ascii="Times" w:eastAsiaTheme="minorHAnsi" w:hAnsi="Times"/>
      <w:sz w:val="20"/>
      <w:szCs w:val="20"/>
    </w:rPr>
  </w:style>
  <w:style w:type="paragraph" w:customStyle="1" w:styleId="AHPRASubheadinglevel2">
    <w:name w:val="AHPRA Subheading level 2"/>
    <w:basedOn w:val="AHPRASubheading"/>
    <w:next w:val="Normal"/>
    <w:rsid w:val="00900921"/>
    <w:rPr>
      <w:color w:val="auto"/>
    </w:rPr>
  </w:style>
  <w:style w:type="paragraph" w:customStyle="1" w:styleId="AHPRABulletlevel1">
    <w:name w:val="AHPRA Bullet level 1"/>
    <w:basedOn w:val="Normal"/>
    <w:qFormat/>
    <w:rsid w:val="00900921"/>
    <w:pPr>
      <w:numPr>
        <w:numId w:val="3"/>
      </w:numPr>
      <w:spacing w:after="0" w:line="240" w:lineRule="auto"/>
    </w:pPr>
    <w:rPr>
      <w:rFonts w:ascii="Arial" w:eastAsia="Cambria" w:hAnsi="Arial"/>
      <w:sz w:val="20"/>
      <w:szCs w:val="24"/>
      <w:lang w:val="en-US"/>
    </w:rPr>
  </w:style>
  <w:style w:type="paragraph" w:customStyle="1" w:styleId="AHPRABulletText">
    <w:name w:val="AHPRA Bullet Text"/>
    <w:basedOn w:val="Normal"/>
    <w:next w:val="Normal"/>
    <w:qFormat/>
    <w:rsid w:val="00900921"/>
    <w:pPr>
      <w:numPr>
        <w:numId w:val="2"/>
      </w:numPr>
      <w:spacing w:line="240" w:lineRule="auto"/>
    </w:pPr>
    <w:rPr>
      <w:rFonts w:ascii="Arial MT Lt" w:eastAsia="Cambria" w:hAnsi="Arial MT Lt"/>
      <w:sz w:val="20"/>
      <w:szCs w:val="24"/>
      <w:lang w:val="en-US"/>
    </w:rPr>
  </w:style>
  <w:style w:type="paragraph" w:customStyle="1" w:styleId="AHPRAlastbulletpoint">
    <w:name w:val="AHPRA last bullet point"/>
    <w:basedOn w:val="AHPRABulletlevel1"/>
    <w:next w:val="Normal"/>
    <w:rsid w:val="00900921"/>
    <w:pPr>
      <w:spacing w:after="200"/>
    </w:pPr>
  </w:style>
  <w:style w:type="paragraph" w:customStyle="1" w:styleId="AHPRApagenumber">
    <w:name w:val="AHPRA page number"/>
    <w:basedOn w:val="Footer"/>
    <w:rsid w:val="00900921"/>
    <w:pPr>
      <w:framePr w:wrap="around" w:vAnchor="text" w:hAnchor="margin" w:xAlign="right" w:y="1"/>
      <w:tabs>
        <w:tab w:val="clear" w:pos="4513"/>
        <w:tab w:val="clear" w:pos="9026"/>
        <w:tab w:val="center" w:pos="4320"/>
        <w:tab w:val="right" w:pos="8640"/>
      </w:tabs>
    </w:pPr>
    <w:rPr>
      <w:rFonts w:ascii="Arial" w:eastAsia="Cambria" w:hAnsi="Arial" w:cs="Arial"/>
      <w:color w:val="008EC4"/>
      <w:sz w:val="18"/>
      <w:szCs w:val="24"/>
      <w:lang w:val="en-US" w:eastAsia="en-US"/>
    </w:rPr>
  </w:style>
  <w:style w:type="character" w:customStyle="1" w:styleId="Heading3Char">
    <w:name w:val="Heading 3 Char"/>
    <w:basedOn w:val="DefaultParagraphFont"/>
    <w:link w:val="Heading3"/>
    <w:uiPriority w:val="1"/>
    <w:semiHidden/>
    <w:rsid w:val="00C444F6"/>
    <w:rPr>
      <w:rFonts w:asciiTheme="majorHAnsi" w:eastAsiaTheme="majorEastAsia" w:hAnsiTheme="majorHAnsi" w:cstheme="majorBidi"/>
      <w:b/>
      <w:bCs/>
      <w:color w:val="4F81BD" w:themeColor="accent1"/>
      <w:sz w:val="22"/>
      <w:szCs w:val="22"/>
      <w:lang w:val="en-AU"/>
    </w:rPr>
  </w:style>
  <w:style w:type="paragraph" w:customStyle="1" w:styleId="AHPRANumberedsubheadinglevel1">
    <w:name w:val="AHPRA Numbered subheading level 1"/>
    <w:basedOn w:val="AHPRASubheading"/>
    <w:next w:val="AHPRAbody"/>
    <w:rsid w:val="008947AA"/>
    <w:pPr>
      <w:numPr>
        <w:numId w:val="10"/>
      </w:numPr>
      <w:ind w:left="369"/>
    </w:pPr>
    <w:rPr>
      <w:color w:val="007DC3"/>
      <w:lang w:val="en-AU"/>
    </w:rPr>
  </w:style>
  <w:style w:type="numbering" w:customStyle="1" w:styleId="AHPRANumberedheadinglist">
    <w:name w:val="AHPRA Numbered heading list"/>
    <w:uiPriority w:val="99"/>
    <w:rsid w:val="008947AA"/>
    <w:pPr>
      <w:numPr>
        <w:numId w:val="9"/>
      </w:numPr>
    </w:pPr>
  </w:style>
  <w:style w:type="paragraph" w:customStyle="1" w:styleId="AHPRANumberedsubheadinglevel2">
    <w:name w:val="AHPRA Numbered subheading level 2"/>
    <w:basedOn w:val="AHPRANumberedsubheadinglevel1"/>
    <w:next w:val="AHPRAbody"/>
    <w:rsid w:val="008947AA"/>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8947AA"/>
    <w:pPr>
      <w:numPr>
        <w:ilvl w:val="2"/>
      </w:numPr>
    </w:pPr>
    <w:rPr>
      <w:b w:val="0"/>
      <w:color w:val="007DC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Normal (Web)" w:uiPriority="99"/>
  </w:latentStyles>
  <w:style w:type="paragraph" w:default="1" w:styleId="Normal">
    <w:name w:val="Normal"/>
    <w:qFormat/>
    <w:rsid w:val="00945AAA"/>
    <w:pPr>
      <w:spacing w:after="200" w:line="276" w:lineRule="auto"/>
    </w:pPr>
    <w:rPr>
      <w:rFonts w:eastAsia="Times New Roman"/>
      <w:sz w:val="22"/>
      <w:szCs w:val="22"/>
      <w:lang w:val="en-AU"/>
    </w:rPr>
  </w:style>
  <w:style w:type="paragraph" w:styleId="Heading1">
    <w:name w:val="heading 1"/>
    <w:basedOn w:val="Normal"/>
    <w:next w:val="Normal"/>
    <w:link w:val="Heading1Char"/>
    <w:qFormat/>
    <w:locked/>
    <w:rsid w:val="0027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C444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B074D"/>
    <w:pPr>
      <w:spacing w:after="0" w:line="240" w:lineRule="auto"/>
    </w:pPr>
    <w:rPr>
      <w:rFonts w:ascii="Tahoma" w:eastAsia="Calibri" w:hAnsi="Tahoma"/>
      <w:sz w:val="16"/>
      <w:szCs w:val="16"/>
      <w:lang w:eastAsia="en-AU"/>
    </w:rPr>
  </w:style>
  <w:style w:type="character" w:customStyle="1" w:styleId="BalloonTextChar">
    <w:name w:val="Balloon Text Char"/>
    <w:basedOn w:val="DefaultParagraphFont"/>
    <w:uiPriority w:val="99"/>
    <w:semiHidden/>
    <w:rsid w:val="00C907D8"/>
    <w:rPr>
      <w:rFonts w:ascii="Lucida Grande" w:hAnsi="Lucida Grande" w:cs="Lucida Grande"/>
      <w:sz w:val="18"/>
      <w:szCs w:val="18"/>
    </w:rPr>
  </w:style>
  <w:style w:type="character" w:customStyle="1" w:styleId="BalloonTextChar0">
    <w:name w:val="Balloon Text Char"/>
    <w:basedOn w:val="DefaultParagraphFont"/>
    <w:uiPriority w:val="99"/>
    <w:semiHidden/>
    <w:rsid w:val="00F63879"/>
    <w:rPr>
      <w:rFonts w:ascii="Lucida Grande" w:hAnsi="Lucida Grande"/>
      <w:sz w:val="18"/>
      <w:szCs w:val="18"/>
    </w:rPr>
  </w:style>
  <w:style w:type="paragraph" w:styleId="ListParagraph">
    <w:name w:val="List Paragraph"/>
    <w:basedOn w:val="Normal"/>
    <w:uiPriority w:val="1"/>
    <w:qFormat/>
    <w:rsid w:val="00DF4B0C"/>
    <w:pPr>
      <w:ind w:left="720"/>
      <w:contextualSpacing/>
    </w:pPr>
  </w:style>
  <w:style w:type="paragraph" w:customStyle="1" w:styleId="Default">
    <w:name w:val="Default"/>
    <w:rsid w:val="00DF4B0C"/>
    <w:pPr>
      <w:autoSpaceDE w:val="0"/>
      <w:autoSpaceDN w:val="0"/>
      <w:adjustRightInd w:val="0"/>
    </w:pPr>
    <w:rPr>
      <w:rFonts w:ascii="Arial Narrow" w:hAnsi="Arial Narrow" w:cs="Arial Narrow"/>
      <w:color w:val="000000"/>
      <w:lang w:val="en-AU" w:eastAsia="en-AU"/>
    </w:rPr>
  </w:style>
  <w:style w:type="table" w:styleId="TableGrid">
    <w:name w:val="Table Grid"/>
    <w:basedOn w:val="TableNormal"/>
    <w:uiPriority w:val="59"/>
    <w:rsid w:val="00776B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B559B"/>
    <w:rPr>
      <w:rFonts w:cs="Times New Roman"/>
      <w:color w:val="0000FF"/>
      <w:u w:val="single"/>
    </w:rPr>
  </w:style>
  <w:style w:type="paragraph" w:styleId="Header">
    <w:name w:val="header"/>
    <w:basedOn w:val="Normal"/>
    <w:link w:val="Head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HeaderChar">
    <w:name w:val="Header Char"/>
    <w:basedOn w:val="DefaultParagraphFont"/>
    <w:link w:val="Header"/>
    <w:uiPriority w:val="99"/>
    <w:locked/>
    <w:rsid w:val="00CB559B"/>
    <w:rPr>
      <w:rFonts w:cs="Times New Roman"/>
    </w:rPr>
  </w:style>
  <w:style w:type="paragraph" w:styleId="Footer">
    <w:name w:val="footer"/>
    <w:basedOn w:val="Normal"/>
    <w:link w:val="FooterChar"/>
    <w:uiPriority w:val="99"/>
    <w:rsid w:val="00CB559B"/>
    <w:pPr>
      <w:tabs>
        <w:tab w:val="center" w:pos="4513"/>
        <w:tab w:val="right" w:pos="9026"/>
      </w:tabs>
      <w:spacing w:after="0" w:line="240" w:lineRule="auto"/>
    </w:pPr>
    <w:rPr>
      <w:rFonts w:eastAsia="Calibri"/>
      <w:sz w:val="20"/>
      <w:szCs w:val="20"/>
      <w:lang w:eastAsia="en-AU"/>
    </w:rPr>
  </w:style>
  <w:style w:type="character" w:customStyle="1" w:styleId="FooterChar">
    <w:name w:val="Footer Char"/>
    <w:basedOn w:val="DefaultParagraphFont"/>
    <w:link w:val="Footer"/>
    <w:uiPriority w:val="99"/>
    <w:locked/>
    <w:rsid w:val="00CB559B"/>
    <w:rPr>
      <w:rFonts w:cs="Times New Roman"/>
    </w:rPr>
  </w:style>
  <w:style w:type="character" w:customStyle="1" w:styleId="BalloonTextChar1">
    <w:name w:val="Balloon Text Char1"/>
    <w:basedOn w:val="DefaultParagraphFont"/>
    <w:link w:val="BalloonText"/>
    <w:uiPriority w:val="99"/>
    <w:semiHidden/>
    <w:locked/>
    <w:rsid w:val="004B074D"/>
    <w:rPr>
      <w:rFonts w:ascii="Tahoma" w:hAnsi="Tahoma" w:cs="Times New Roman"/>
      <w:sz w:val="16"/>
    </w:rPr>
  </w:style>
  <w:style w:type="character" w:styleId="CommentReference">
    <w:name w:val="annotation reference"/>
    <w:basedOn w:val="DefaultParagraphFont"/>
    <w:uiPriority w:val="99"/>
    <w:rsid w:val="00F40646"/>
    <w:rPr>
      <w:rFonts w:cs="Times New Roman"/>
      <w:sz w:val="16"/>
    </w:rPr>
  </w:style>
  <w:style w:type="paragraph" w:styleId="CommentText">
    <w:name w:val="annotation text"/>
    <w:basedOn w:val="Normal"/>
    <w:link w:val="CommentTextChar"/>
    <w:rsid w:val="00F40646"/>
    <w:pPr>
      <w:spacing w:line="240" w:lineRule="auto"/>
    </w:pPr>
    <w:rPr>
      <w:rFonts w:eastAsia="Calibri"/>
      <w:sz w:val="20"/>
      <w:szCs w:val="20"/>
      <w:lang w:eastAsia="en-AU"/>
    </w:rPr>
  </w:style>
  <w:style w:type="character" w:customStyle="1" w:styleId="CommentTextChar">
    <w:name w:val="Comment Text Char"/>
    <w:basedOn w:val="DefaultParagraphFont"/>
    <w:link w:val="CommentText"/>
    <w:locked/>
    <w:rsid w:val="00F40646"/>
    <w:rPr>
      <w:rFonts w:cs="Times New Roman"/>
      <w:sz w:val="20"/>
    </w:rPr>
  </w:style>
  <w:style w:type="paragraph" w:styleId="CommentSubject">
    <w:name w:val="annotation subject"/>
    <w:basedOn w:val="CommentText"/>
    <w:next w:val="CommentText"/>
    <w:link w:val="CommentSubjectChar"/>
    <w:uiPriority w:val="99"/>
    <w:semiHidden/>
    <w:rsid w:val="00F40646"/>
    <w:rPr>
      <w:b/>
      <w:bCs/>
    </w:rPr>
  </w:style>
  <w:style w:type="character" w:customStyle="1" w:styleId="CommentSubjectChar">
    <w:name w:val="Comment Subject Char"/>
    <w:basedOn w:val="CommentTextChar"/>
    <w:link w:val="CommentSubject"/>
    <w:uiPriority w:val="99"/>
    <w:semiHidden/>
    <w:locked/>
    <w:rsid w:val="00F40646"/>
    <w:rPr>
      <w:rFonts w:cs="Times New Roman"/>
      <w:b/>
      <w:sz w:val="20"/>
    </w:rPr>
  </w:style>
  <w:style w:type="paragraph" w:customStyle="1" w:styleId="AHPRAHeadline">
    <w:name w:val="AHPRA Headline"/>
    <w:basedOn w:val="Normal"/>
    <w:qFormat/>
    <w:rsid w:val="002E1B0D"/>
    <w:pPr>
      <w:spacing w:line="240" w:lineRule="auto"/>
    </w:pPr>
    <w:rPr>
      <w:rFonts w:ascii="Arial" w:hAnsi="Arial"/>
      <w:color w:val="008EC4"/>
      <w:sz w:val="28"/>
      <w:szCs w:val="24"/>
      <w:lang w:val="en-US"/>
    </w:rPr>
  </w:style>
  <w:style w:type="paragraph" w:customStyle="1" w:styleId="AHPRATitle">
    <w:name w:val="AHPRA Title"/>
    <w:basedOn w:val="Normal"/>
    <w:next w:val="AHPRAHeadline"/>
    <w:uiPriority w:val="99"/>
    <w:rsid w:val="002E1B0D"/>
    <w:pPr>
      <w:spacing w:line="240" w:lineRule="auto"/>
      <w:outlineLvl w:val="0"/>
    </w:pPr>
    <w:rPr>
      <w:rFonts w:ascii="Arial" w:hAnsi="Arial" w:cs="Arial"/>
      <w:color w:val="808080"/>
      <w:sz w:val="44"/>
      <w:szCs w:val="52"/>
    </w:rPr>
  </w:style>
  <w:style w:type="paragraph" w:customStyle="1" w:styleId="AHPRASubhead">
    <w:name w:val="AHPRA Subhead"/>
    <w:basedOn w:val="Normal"/>
    <w:qFormat/>
    <w:rsid w:val="002E1B0D"/>
    <w:pPr>
      <w:spacing w:line="240" w:lineRule="auto"/>
    </w:pPr>
    <w:rPr>
      <w:rFonts w:ascii="Arial" w:hAnsi="Arial"/>
      <w:b/>
      <w:color w:val="008EC4"/>
      <w:sz w:val="20"/>
      <w:szCs w:val="24"/>
      <w:lang w:val="en-US"/>
    </w:rPr>
  </w:style>
  <w:style w:type="paragraph" w:styleId="Revision">
    <w:name w:val="Revision"/>
    <w:hidden/>
    <w:uiPriority w:val="99"/>
    <w:semiHidden/>
    <w:rsid w:val="00E61965"/>
    <w:rPr>
      <w:rFonts w:eastAsia="Times New Roman"/>
      <w:sz w:val="22"/>
      <w:szCs w:val="22"/>
      <w:lang w:val="en-AU"/>
    </w:rPr>
  </w:style>
  <w:style w:type="paragraph" w:customStyle="1" w:styleId="TableBullet">
    <w:name w:val="TableBullet"/>
    <w:basedOn w:val="Normal"/>
    <w:uiPriority w:val="99"/>
    <w:rsid w:val="004F119B"/>
    <w:pPr>
      <w:keepNext/>
      <w:numPr>
        <w:numId w:val="1"/>
      </w:numPr>
      <w:tabs>
        <w:tab w:val="left" w:pos="0"/>
      </w:tabs>
      <w:spacing w:before="120" w:after="120" w:line="240" w:lineRule="auto"/>
    </w:pPr>
    <w:rPr>
      <w:rFonts w:ascii="Helvetica Narrow" w:eastAsia="Calibri" w:hAnsi="Helvetica Narrow"/>
      <w:color w:val="000000"/>
      <w:sz w:val="20"/>
      <w:szCs w:val="24"/>
    </w:rPr>
  </w:style>
  <w:style w:type="paragraph" w:customStyle="1" w:styleId="TableDash">
    <w:name w:val="TableDash"/>
    <w:basedOn w:val="Normal"/>
    <w:uiPriority w:val="99"/>
    <w:rsid w:val="004F119B"/>
    <w:pPr>
      <w:keepNext/>
      <w:numPr>
        <w:ilvl w:val="1"/>
        <w:numId w:val="1"/>
      </w:numPr>
      <w:tabs>
        <w:tab w:val="left" w:pos="432"/>
      </w:tabs>
      <w:spacing w:before="120" w:after="120" w:line="240" w:lineRule="auto"/>
    </w:pPr>
    <w:rPr>
      <w:rFonts w:ascii="Helvetica Narrow" w:eastAsia="Calibri" w:hAnsi="Helvetica Narrow"/>
      <w:color w:val="000000"/>
      <w:sz w:val="20"/>
      <w:szCs w:val="24"/>
    </w:rPr>
  </w:style>
  <w:style w:type="paragraph" w:customStyle="1" w:styleId="TableText">
    <w:name w:val="TableText"/>
    <w:basedOn w:val="Normal"/>
    <w:uiPriority w:val="99"/>
    <w:rsid w:val="004F119B"/>
    <w:pPr>
      <w:keepNext/>
      <w:spacing w:before="120" w:after="120" w:line="240" w:lineRule="auto"/>
    </w:pPr>
    <w:rPr>
      <w:rFonts w:ascii="Helvetica Narrow" w:eastAsia="Calibri" w:hAnsi="Helvetica Narrow"/>
      <w:color w:val="000000"/>
      <w:sz w:val="20"/>
      <w:szCs w:val="24"/>
    </w:rPr>
  </w:style>
  <w:style w:type="paragraph" w:customStyle="1" w:styleId="para">
    <w:name w:val="para"/>
    <w:uiPriority w:val="99"/>
    <w:rsid w:val="007C520B"/>
    <w:pPr>
      <w:spacing w:after="240"/>
      <w:ind w:left="425"/>
    </w:pPr>
    <w:rPr>
      <w:rFonts w:ascii="Arial" w:hAnsi="Arial"/>
      <w:szCs w:val="28"/>
      <w:lang w:val="en-AU"/>
    </w:rPr>
  </w:style>
  <w:style w:type="paragraph" w:customStyle="1" w:styleId="Body1">
    <w:name w:val="Body 1"/>
    <w:uiPriority w:val="99"/>
    <w:rsid w:val="00AA4A2B"/>
    <w:pPr>
      <w:spacing w:after="200" w:line="276" w:lineRule="auto"/>
      <w:outlineLvl w:val="0"/>
    </w:pPr>
    <w:rPr>
      <w:rFonts w:ascii="Helvetica" w:eastAsia="Arial Unicode MS" w:hAnsi="Helvetica"/>
      <w:color w:val="000000"/>
      <w:sz w:val="22"/>
      <w:u w:color="000000"/>
      <w:lang w:val="en-AU" w:eastAsia="en-AU"/>
    </w:rPr>
  </w:style>
  <w:style w:type="paragraph" w:customStyle="1" w:styleId="AHPRAbodytext">
    <w:name w:val="AHPRA body text"/>
    <w:basedOn w:val="Normal"/>
    <w:rsid w:val="008A6691"/>
    <w:pPr>
      <w:spacing w:line="240" w:lineRule="auto"/>
    </w:pPr>
    <w:rPr>
      <w:rFonts w:ascii="Arial" w:eastAsia="Cambria" w:hAnsi="Arial" w:cs="Arial"/>
      <w:sz w:val="20"/>
      <w:szCs w:val="24"/>
      <w:lang w:val="en-US"/>
    </w:rPr>
  </w:style>
  <w:style w:type="paragraph" w:customStyle="1" w:styleId="AHPRAbody">
    <w:name w:val="AHPRA body"/>
    <w:basedOn w:val="Normal"/>
    <w:link w:val="AHPRAbodyChar"/>
    <w:qFormat/>
    <w:rsid w:val="008A6691"/>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8A6691"/>
    <w:rPr>
      <w:rFonts w:ascii="Arial" w:eastAsia="Cambria" w:hAnsi="Arial" w:cs="Arial"/>
      <w:szCs w:val="24"/>
      <w:lang w:val="en-AU"/>
    </w:rPr>
  </w:style>
  <w:style w:type="paragraph" w:customStyle="1" w:styleId="AHPRAfirstpagefooter">
    <w:name w:val="AHPRA first page footer"/>
    <w:basedOn w:val="Normal"/>
    <w:rsid w:val="008A6691"/>
    <w:pPr>
      <w:spacing w:after="0" w:line="240" w:lineRule="auto"/>
      <w:jc w:val="center"/>
    </w:pPr>
    <w:rPr>
      <w:rFonts w:ascii="Arial" w:eastAsia="Cambria" w:hAnsi="Arial" w:cs="Arial"/>
      <w:b/>
      <w:color w:val="5F6062"/>
      <w:sz w:val="18"/>
      <w:szCs w:val="20"/>
    </w:rPr>
  </w:style>
  <w:style w:type="paragraph" w:customStyle="1" w:styleId="AHPRASubheadinglevel3">
    <w:name w:val="AHPRA Subheading level 3"/>
    <w:basedOn w:val="Normal"/>
    <w:next w:val="Normal"/>
    <w:qFormat/>
    <w:rsid w:val="008A6691"/>
    <w:pPr>
      <w:spacing w:before="200" w:line="240" w:lineRule="auto"/>
    </w:pPr>
    <w:rPr>
      <w:rFonts w:ascii="Arial" w:eastAsia="Cambria" w:hAnsi="Arial"/>
      <w:i/>
      <w:color w:val="008EC4"/>
      <w:sz w:val="20"/>
      <w:szCs w:val="24"/>
      <w:lang w:val="en-US"/>
    </w:rPr>
  </w:style>
  <w:style w:type="paragraph" w:customStyle="1" w:styleId="AHPRASubheading">
    <w:name w:val="AHPRA Subheading"/>
    <w:basedOn w:val="Normal"/>
    <w:qFormat/>
    <w:rsid w:val="00B32E8C"/>
    <w:pPr>
      <w:spacing w:before="200" w:line="240" w:lineRule="auto"/>
    </w:pPr>
    <w:rPr>
      <w:rFonts w:ascii="Arial" w:eastAsia="Cambria" w:hAnsi="Arial"/>
      <w:b/>
      <w:color w:val="008EC4"/>
      <w:sz w:val="20"/>
      <w:szCs w:val="24"/>
      <w:lang w:val="en-US"/>
    </w:rPr>
  </w:style>
  <w:style w:type="paragraph" w:customStyle="1" w:styleId="AHPRANumberedlistlevel2">
    <w:name w:val="AHPRA Numbered list level 2"/>
    <w:basedOn w:val="Normal"/>
    <w:rsid w:val="00C6053C"/>
    <w:pPr>
      <w:spacing w:after="0" w:line="240" w:lineRule="auto"/>
      <w:ind w:left="737" w:hanging="368"/>
    </w:pPr>
    <w:rPr>
      <w:rFonts w:ascii="Arial" w:eastAsia="Cambria" w:hAnsi="Arial" w:cs="Arial"/>
      <w:sz w:val="20"/>
      <w:szCs w:val="20"/>
      <w:lang w:val="en-US"/>
    </w:rPr>
  </w:style>
  <w:style w:type="paragraph" w:customStyle="1" w:styleId="AHPRADocumenttitle">
    <w:name w:val="AHPRA Document title"/>
    <w:basedOn w:val="Normal"/>
    <w:rsid w:val="00F7477D"/>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qFormat/>
    <w:rsid w:val="00F7477D"/>
    <w:pPr>
      <w:spacing w:line="240" w:lineRule="auto"/>
      <w:outlineLvl w:val="0"/>
    </w:pPr>
    <w:rPr>
      <w:rFonts w:ascii="Arial" w:eastAsia="Cambria" w:hAnsi="Arial" w:cs="Arial"/>
      <w:color w:val="808080"/>
      <w:sz w:val="28"/>
      <w:szCs w:val="52"/>
      <w:lang w:val="en-US"/>
    </w:rPr>
  </w:style>
  <w:style w:type="paragraph" w:styleId="FootnoteText">
    <w:name w:val="footnote text"/>
    <w:basedOn w:val="Normal"/>
    <w:link w:val="FootnoteTextChar"/>
    <w:uiPriority w:val="99"/>
    <w:unhideWhenUsed/>
    <w:rsid w:val="00F7477D"/>
    <w:pPr>
      <w:spacing w:after="0" w:line="240" w:lineRule="auto"/>
    </w:pPr>
    <w:rPr>
      <w:sz w:val="20"/>
      <w:szCs w:val="20"/>
    </w:rPr>
  </w:style>
  <w:style w:type="character" w:customStyle="1" w:styleId="FootnoteTextChar">
    <w:name w:val="Footnote Text Char"/>
    <w:basedOn w:val="DefaultParagraphFont"/>
    <w:link w:val="FootnoteText"/>
    <w:uiPriority w:val="99"/>
    <w:rsid w:val="00F7477D"/>
    <w:rPr>
      <w:rFonts w:eastAsia="Times New Roman"/>
      <w:lang w:val="en-AU"/>
    </w:rPr>
  </w:style>
  <w:style w:type="character" w:styleId="FootnoteReference">
    <w:name w:val="footnote reference"/>
    <w:basedOn w:val="DefaultParagraphFont"/>
    <w:uiPriority w:val="99"/>
    <w:unhideWhenUsed/>
    <w:rsid w:val="00F7477D"/>
    <w:rPr>
      <w:vertAlign w:val="superscript"/>
    </w:rPr>
  </w:style>
  <w:style w:type="paragraph" w:styleId="EndnoteText">
    <w:name w:val="endnote text"/>
    <w:basedOn w:val="Normal"/>
    <w:link w:val="EndnoteTextChar"/>
    <w:uiPriority w:val="99"/>
    <w:semiHidden/>
    <w:unhideWhenUsed/>
    <w:rsid w:val="002728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874"/>
    <w:rPr>
      <w:rFonts w:eastAsia="Times New Roman"/>
      <w:lang w:val="en-AU"/>
    </w:rPr>
  </w:style>
  <w:style w:type="character" w:styleId="EndnoteReference">
    <w:name w:val="endnote reference"/>
    <w:basedOn w:val="DefaultParagraphFont"/>
    <w:uiPriority w:val="99"/>
    <w:semiHidden/>
    <w:unhideWhenUsed/>
    <w:rsid w:val="00272874"/>
    <w:rPr>
      <w:vertAlign w:val="superscript"/>
    </w:rPr>
  </w:style>
  <w:style w:type="character" w:customStyle="1" w:styleId="Heading1Char">
    <w:name w:val="Heading 1 Char"/>
    <w:basedOn w:val="DefaultParagraphFont"/>
    <w:link w:val="Heading1"/>
    <w:rsid w:val="00272874"/>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semiHidden/>
    <w:unhideWhenUsed/>
    <w:qFormat/>
    <w:rsid w:val="00272874"/>
    <w:pPr>
      <w:outlineLvl w:val="9"/>
    </w:pPr>
    <w:rPr>
      <w:lang w:val="en-US"/>
    </w:rPr>
  </w:style>
  <w:style w:type="paragraph" w:styleId="TOC1">
    <w:name w:val="toc 1"/>
    <w:basedOn w:val="Normal"/>
    <w:next w:val="Normal"/>
    <w:autoRedefine/>
    <w:uiPriority w:val="39"/>
    <w:locked/>
    <w:rsid w:val="00272874"/>
    <w:pPr>
      <w:spacing w:after="100"/>
    </w:pPr>
  </w:style>
  <w:style w:type="character" w:styleId="FollowedHyperlink">
    <w:name w:val="FollowedHyperlink"/>
    <w:basedOn w:val="DefaultParagraphFont"/>
    <w:uiPriority w:val="99"/>
    <w:semiHidden/>
    <w:unhideWhenUsed/>
    <w:rsid w:val="00A27515"/>
    <w:rPr>
      <w:color w:val="800080" w:themeColor="followedHyperlink"/>
      <w:u w:val="single"/>
    </w:rPr>
  </w:style>
  <w:style w:type="paragraph" w:customStyle="1" w:styleId="AHPRAnumberedbulletpoint">
    <w:name w:val="AHPRA numbered bullet point"/>
    <w:basedOn w:val="Normal"/>
    <w:rsid w:val="003D622B"/>
    <w:pPr>
      <w:numPr>
        <w:numId w:val="12"/>
      </w:numPr>
      <w:spacing w:after="0" w:line="240" w:lineRule="auto"/>
    </w:pPr>
    <w:rPr>
      <w:rFonts w:ascii="Arial" w:eastAsia="Cambria" w:hAnsi="Arial"/>
      <w:sz w:val="20"/>
      <w:szCs w:val="24"/>
      <w:lang w:val="en-US"/>
    </w:rPr>
  </w:style>
  <w:style w:type="paragraph" w:styleId="NormalWeb">
    <w:name w:val="Normal (Web)"/>
    <w:basedOn w:val="Normal"/>
    <w:uiPriority w:val="99"/>
    <w:rsid w:val="003D622B"/>
    <w:pPr>
      <w:spacing w:beforeLines="1" w:afterLines="1" w:line="240" w:lineRule="auto"/>
    </w:pPr>
    <w:rPr>
      <w:rFonts w:ascii="Times" w:eastAsiaTheme="minorHAnsi" w:hAnsi="Times"/>
      <w:sz w:val="20"/>
      <w:szCs w:val="20"/>
    </w:rPr>
  </w:style>
  <w:style w:type="paragraph" w:customStyle="1" w:styleId="AHPRASubheadinglevel2">
    <w:name w:val="AHPRA Subheading level 2"/>
    <w:basedOn w:val="AHPRASubheading"/>
    <w:next w:val="Normal"/>
    <w:rsid w:val="00900921"/>
    <w:rPr>
      <w:color w:val="auto"/>
    </w:rPr>
  </w:style>
  <w:style w:type="paragraph" w:customStyle="1" w:styleId="AHPRABulletlevel1">
    <w:name w:val="AHPRA Bullet level 1"/>
    <w:basedOn w:val="Normal"/>
    <w:qFormat/>
    <w:rsid w:val="00900921"/>
    <w:pPr>
      <w:numPr>
        <w:numId w:val="3"/>
      </w:numPr>
      <w:spacing w:after="0" w:line="240" w:lineRule="auto"/>
    </w:pPr>
    <w:rPr>
      <w:rFonts w:ascii="Arial" w:eastAsia="Cambria" w:hAnsi="Arial"/>
      <w:sz w:val="20"/>
      <w:szCs w:val="24"/>
      <w:lang w:val="en-US"/>
    </w:rPr>
  </w:style>
  <w:style w:type="paragraph" w:customStyle="1" w:styleId="AHPRABulletText">
    <w:name w:val="AHPRA Bullet Text"/>
    <w:basedOn w:val="Normal"/>
    <w:next w:val="Normal"/>
    <w:qFormat/>
    <w:rsid w:val="00900921"/>
    <w:pPr>
      <w:numPr>
        <w:numId w:val="2"/>
      </w:numPr>
      <w:spacing w:line="240" w:lineRule="auto"/>
    </w:pPr>
    <w:rPr>
      <w:rFonts w:ascii="Arial MT Lt" w:eastAsia="Cambria" w:hAnsi="Arial MT Lt"/>
      <w:sz w:val="20"/>
      <w:szCs w:val="24"/>
      <w:lang w:val="en-US"/>
    </w:rPr>
  </w:style>
  <w:style w:type="paragraph" w:customStyle="1" w:styleId="AHPRAlastbulletpoint">
    <w:name w:val="AHPRA last bullet point"/>
    <w:basedOn w:val="AHPRABulletlevel1"/>
    <w:next w:val="Normal"/>
    <w:rsid w:val="00900921"/>
    <w:pPr>
      <w:spacing w:after="200"/>
    </w:pPr>
  </w:style>
  <w:style w:type="paragraph" w:customStyle="1" w:styleId="AHPRApagenumber">
    <w:name w:val="AHPRA page number"/>
    <w:basedOn w:val="Footer"/>
    <w:rsid w:val="00900921"/>
    <w:pPr>
      <w:framePr w:wrap="around" w:vAnchor="text" w:hAnchor="margin" w:xAlign="right" w:y="1"/>
      <w:tabs>
        <w:tab w:val="clear" w:pos="4513"/>
        <w:tab w:val="clear" w:pos="9026"/>
        <w:tab w:val="center" w:pos="4320"/>
        <w:tab w:val="right" w:pos="8640"/>
      </w:tabs>
    </w:pPr>
    <w:rPr>
      <w:rFonts w:ascii="Arial" w:eastAsia="Cambria" w:hAnsi="Arial" w:cs="Arial"/>
      <w:color w:val="008EC4"/>
      <w:sz w:val="18"/>
      <w:szCs w:val="24"/>
      <w:lang w:val="en-US" w:eastAsia="en-US"/>
    </w:rPr>
  </w:style>
  <w:style w:type="character" w:customStyle="1" w:styleId="Heading3Char">
    <w:name w:val="Heading 3 Char"/>
    <w:basedOn w:val="DefaultParagraphFont"/>
    <w:link w:val="Heading3"/>
    <w:uiPriority w:val="1"/>
    <w:semiHidden/>
    <w:rsid w:val="00C444F6"/>
    <w:rPr>
      <w:rFonts w:asciiTheme="majorHAnsi" w:eastAsiaTheme="majorEastAsia" w:hAnsiTheme="majorHAnsi" w:cstheme="majorBidi"/>
      <w:b/>
      <w:bCs/>
      <w:color w:val="4F81BD" w:themeColor="accent1"/>
      <w:sz w:val="22"/>
      <w:szCs w:val="22"/>
      <w:lang w:val="en-AU"/>
    </w:rPr>
  </w:style>
  <w:style w:type="paragraph" w:customStyle="1" w:styleId="AHPRANumberedsubheadinglevel1">
    <w:name w:val="AHPRA Numbered subheading level 1"/>
    <w:basedOn w:val="AHPRASubheading"/>
    <w:next w:val="AHPRAbody"/>
    <w:rsid w:val="008947AA"/>
    <w:pPr>
      <w:numPr>
        <w:numId w:val="10"/>
      </w:numPr>
      <w:ind w:left="369"/>
    </w:pPr>
    <w:rPr>
      <w:color w:val="007DC3"/>
      <w:lang w:val="en-AU"/>
    </w:rPr>
  </w:style>
  <w:style w:type="numbering" w:customStyle="1" w:styleId="AHPRANumberedheadinglist">
    <w:name w:val="AHPRA Numbered heading list"/>
    <w:uiPriority w:val="99"/>
    <w:rsid w:val="008947AA"/>
    <w:pPr>
      <w:numPr>
        <w:numId w:val="9"/>
      </w:numPr>
    </w:pPr>
  </w:style>
  <w:style w:type="paragraph" w:customStyle="1" w:styleId="AHPRANumberedsubheadinglevel2">
    <w:name w:val="AHPRA Numbered subheading level 2"/>
    <w:basedOn w:val="AHPRANumberedsubheadinglevel1"/>
    <w:next w:val="AHPRAbody"/>
    <w:rsid w:val="008947AA"/>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8947AA"/>
    <w:pPr>
      <w:numPr>
        <w:ilvl w:val="2"/>
      </w:numPr>
    </w:pPr>
    <w:rPr>
      <w:b w:val="0"/>
      <w:color w:val="007DC3"/>
    </w:rPr>
  </w:style>
</w:styles>
</file>

<file path=word/webSettings.xml><?xml version="1.0" encoding="utf-8"?>
<w:webSettings xmlns:r="http://schemas.openxmlformats.org/officeDocument/2006/relationships" xmlns:w="http://schemas.openxmlformats.org/wordprocessingml/2006/main">
  <w:divs>
    <w:div w:id="1046947762">
      <w:marLeft w:val="0"/>
      <w:marRight w:val="0"/>
      <w:marTop w:val="0"/>
      <w:marBottom w:val="0"/>
      <w:divBdr>
        <w:top w:val="none" w:sz="0" w:space="0" w:color="auto"/>
        <w:left w:val="none" w:sz="0" w:space="0" w:color="auto"/>
        <w:bottom w:val="none" w:sz="0" w:space="0" w:color="auto"/>
        <w:right w:val="none" w:sz="0" w:space="0" w:color="auto"/>
      </w:divBdr>
    </w:div>
    <w:div w:id="1046947774">
      <w:marLeft w:val="0"/>
      <w:marRight w:val="0"/>
      <w:marTop w:val="0"/>
      <w:marBottom w:val="0"/>
      <w:divBdr>
        <w:top w:val="none" w:sz="0" w:space="0" w:color="auto"/>
        <w:left w:val="none" w:sz="0" w:space="0" w:color="auto"/>
        <w:bottom w:val="none" w:sz="0" w:space="0" w:color="auto"/>
        <w:right w:val="none" w:sz="0" w:space="0" w:color="auto"/>
      </w:divBdr>
    </w:div>
    <w:div w:id="1046947776">
      <w:marLeft w:val="0"/>
      <w:marRight w:val="0"/>
      <w:marTop w:val="0"/>
      <w:marBottom w:val="0"/>
      <w:divBdr>
        <w:top w:val="none" w:sz="0" w:space="0" w:color="auto"/>
        <w:left w:val="none" w:sz="0" w:space="0" w:color="auto"/>
        <w:bottom w:val="none" w:sz="0" w:space="0" w:color="auto"/>
        <w:right w:val="none" w:sz="0" w:space="0" w:color="auto"/>
      </w:divBdr>
    </w:div>
    <w:div w:id="1046947777">
      <w:marLeft w:val="0"/>
      <w:marRight w:val="0"/>
      <w:marTop w:val="0"/>
      <w:marBottom w:val="0"/>
      <w:divBdr>
        <w:top w:val="none" w:sz="0" w:space="0" w:color="auto"/>
        <w:left w:val="none" w:sz="0" w:space="0" w:color="auto"/>
        <w:bottom w:val="none" w:sz="0" w:space="0" w:color="auto"/>
        <w:right w:val="none" w:sz="0" w:space="0" w:color="auto"/>
      </w:divBdr>
    </w:div>
    <w:div w:id="1046947779">
      <w:marLeft w:val="0"/>
      <w:marRight w:val="0"/>
      <w:marTop w:val="0"/>
      <w:marBottom w:val="0"/>
      <w:divBdr>
        <w:top w:val="none" w:sz="0" w:space="0" w:color="auto"/>
        <w:left w:val="none" w:sz="0" w:space="0" w:color="auto"/>
        <w:bottom w:val="none" w:sz="0" w:space="0" w:color="auto"/>
        <w:right w:val="none" w:sz="0" w:space="0" w:color="auto"/>
      </w:divBdr>
    </w:div>
    <w:div w:id="1046947780">
      <w:marLeft w:val="0"/>
      <w:marRight w:val="0"/>
      <w:marTop w:val="0"/>
      <w:marBottom w:val="0"/>
      <w:divBdr>
        <w:top w:val="none" w:sz="0" w:space="0" w:color="auto"/>
        <w:left w:val="none" w:sz="0" w:space="0" w:color="auto"/>
        <w:bottom w:val="none" w:sz="0" w:space="0" w:color="auto"/>
        <w:right w:val="none" w:sz="0" w:space="0" w:color="auto"/>
      </w:divBdr>
      <w:divsChild>
        <w:div w:id="1046947761">
          <w:marLeft w:val="0"/>
          <w:marRight w:val="0"/>
          <w:marTop w:val="0"/>
          <w:marBottom w:val="0"/>
          <w:divBdr>
            <w:top w:val="none" w:sz="0" w:space="0" w:color="auto"/>
            <w:left w:val="none" w:sz="0" w:space="0" w:color="auto"/>
            <w:bottom w:val="none" w:sz="0" w:space="0" w:color="auto"/>
            <w:right w:val="none" w:sz="0" w:space="0" w:color="auto"/>
          </w:divBdr>
        </w:div>
        <w:div w:id="1046947763">
          <w:marLeft w:val="0"/>
          <w:marRight w:val="0"/>
          <w:marTop w:val="0"/>
          <w:marBottom w:val="0"/>
          <w:divBdr>
            <w:top w:val="none" w:sz="0" w:space="0" w:color="auto"/>
            <w:left w:val="none" w:sz="0" w:space="0" w:color="auto"/>
            <w:bottom w:val="none" w:sz="0" w:space="0" w:color="auto"/>
            <w:right w:val="none" w:sz="0" w:space="0" w:color="auto"/>
          </w:divBdr>
        </w:div>
        <w:div w:id="1046947764">
          <w:marLeft w:val="0"/>
          <w:marRight w:val="0"/>
          <w:marTop w:val="0"/>
          <w:marBottom w:val="0"/>
          <w:divBdr>
            <w:top w:val="none" w:sz="0" w:space="0" w:color="auto"/>
            <w:left w:val="none" w:sz="0" w:space="0" w:color="auto"/>
            <w:bottom w:val="none" w:sz="0" w:space="0" w:color="auto"/>
            <w:right w:val="none" w:sz="0" w:space="0" w:color="auto"/>
          </w:divBdr>
        </w:div>
        <w:div w:id="1046947765">
          <w:marLeft w:val="0"/>
          <w:marRight w:val="0"/>
          <w:marTop w:val="0"/>
          <w:marBottom w:val="0"/>
          <w:divBdr>
            <w:top w:val="none" w:sz="0" w:space="0" w:color="auto"/>
            <w:left w:val="none" w:sz="0" w:space="0" w:color="auto"/>
            <w:bottom w:val="none" w:sz="0" w:space="0" w:color="auto"/>
            <w:right w:val="none" w:sz="0" w:space="0" w:color="auto"/>
          </w:divBdr>
        </w:div>
        <w:div w:id="1046947766">
          <w:marLeft w:val="0"/>
          <w:marRight w:val="0"/>
          <w:marTop w:val="0"/>
          <w:marBottom w:val="0"/>
          <w:divBdr>
            <w:top w:val="none" w:sz="0" w:space="0" w:color="auto"/>
            <w:left w:val="none" w:sz="0" w:space="0" w:color="auto"/>
            <w:bottom w:val="none" w:sz="0" w:space="0" w:color="auto"/>
            <w:right w:val="none" w:sz="0" w:space="0" w:color="auto"/>
          </w:divBdr>
        </w:div>
        <w:div w:id="1046947767">
          <w:marLeft w:val="0"/>
          <w:marRight w:val="0"/>
          <w:marTop w:val="0"/>
          <w:marBottom w:val="0"/>
          <w:divBdr>
            <w:top w:val="none" w:sz="0" w:space="0" w:color="auto"/>
            <w:left w:val="none" w:sz="0" w:space="0" w:color="auto"/>
            <w:bottom w:val="none" w:sz="0" w:space="0" w:color="auto"/>
            <w:right w:val="none" w:sz="0" w:space="0" w:color="auto"/>
          </w:divBdr>
        </w:div>
        <w:div w:id="1046947768">
          <w:marLeft w:val="0"/>
          <w:marRight w:val="0"/>
          <w:marTop w:val="0"/>
          <w:marBottom w:val="0"/>
          <w:divBdr>
            <w:top w:val="none" w:sz="0" w:space="0" w:color="auto"/>
            <w:left w:val="none" w:sz="0" w:space="0" w:color="auto"/>
            <w:bottom w:val="none" w:sz="0" w:space="0" w:color="auto"/>
            <w:right w:val="none" w:sz="0" w:space="0" w:color="auto"/>
          </w:divBdr>
        </w:div>
        <w:div w:id="1046947769">
          <w:marLeft w:val="0"/>
          <w:marRight w:val="0"/>
          <w:marTop w:val="0"/>
          <w:marBottom w:val="0"/>
          <w:divBdr>
            <w:top w:val="none" w:sz="0" w:space="0" w:color="auto"/>
            <w:left w:val="none" w:sz="0" w:space="0" w:color="auto"/>
            <w:bottom w:val="none" w:sz="0" w:space="0" w:color="auto"/>
            <w:right w:val="none" w:sz="0" w:space="0" w:color="auto"/>
          </w:divBdr>
        </w:div>
        <w:div w:id="1046947770">
          <w:marLeft w:val="0"/>
          <w:marRight w:val="0"/>
          <w:marTop w:val="0"/>
          <w:marBottom w:val="0"/>
          <w:divBdr>
            <w:top w:val="none" w:sz="0" w:space="0" w:color="auto"/>
            <w:left w:val="none" w:sz="0" w:space="0" w:color="auto"/>
            <w:bottom w:val="none" w:sz="0" w:space="0" w:color="auto"/>
            <w:right w:val="none" w:sz="0" w:space="0" w:color="auto"/>
          </w:divBdr>
        </w:div>
        <w:div w:id="1046947771">
          <w:marLeft w:val="0"/>
          <w:marRight w:val="0"/>
          <w:marTop w:val="0"/>
          <w:marBottom w:val="0"/>
          <w:divBdr>
            <w:top w:val="none" w:sz="0" w:space="0" w:color="auto"/>
            <w:left w:val="none" w:sz="0" w:space="0" w:color="auto"/>
            <w:bottom w:val="none" w:sz="0" w:space="0" w:color="auto"/>
            <w:right w:val="none" w:sz="0" w:space="0" w:color="auto"/>
          </w:divBdr>
        </w:div>
        <w:div w:id="1046947772">
          <w:marLeft w:val="0"/>
          <w:marRight w:val="0"/>
          <w:marTop w:val="0"/>
          <w:marBottom w:val="0"/>
          <w:divBdr>
            <w:top w:val="none" w:sz="0" w:space="0" w:color="auto"/>
            <w:left w:val="none" w:sz="0" w:space="0" w:color="auto"/>
            <w:bottom w:val="none" w:sz="0" w:space="0" w:color="auto"/>
            <w:right w:val="none" w:sz="0" w:space="0" w:color="auto"/>
          </w:divBdr>
        </w:div>
        <w:div w:id="1046947773">
          <w:marLeft w:val="0"/>
          <w:marRight w:val="0"/>
          <w:marTop w:val="0"/>
          <w:marBottom w:val="0"/>
          <w:divBdr>
            <w:top w:val="none" w:sz="0" w:space="0" w:color="auto"/>
            <w:left w:val="none" w:sz="0" w:space="0" w:color="auto"/>
            <w:bottom w:val="none" w:sz="0" w:space="0" w:color="auto"/>
            <w:right w:val="none" w:sz="0" w:space="0" w:color="auto"/>
          </w:divBdr>
        </w:div>
        <w:div w:id="1046947775">
          <w:marLeft w:val="0"/>
          <w:marRight w:val="0"/>
          <w:marTop w:val="0"/>
          <w:marBottom w:val="0"/>
          <w:divBdr>
            <w:top w:val="none" w:sz="0" w:space="0" w:color="auto"/>
            <w:left w:val="none" w:sz="0" w:space="0" w:color="auto"/>
            <w:bottom w:val="none" w:sz="0" w:space="0" w:color="auto"/>
            <w:right w:val="none" w:sz="0" w:space="0" w:color="auto"/>
          </w:divBdr>
        </w:div>
        <w:div w:id="1046947778">
          <w:marLeft w:val="0"/>
          <w:marRight w:val="0"/>
          <w:marTop w:val="0"/>
          <w:marBottom w:val="0"/>
          <w:divBdr>
            <w:top w:val="none" w:sz="0" w:space="0" w:color="auto"/>
            <w:left w:val="none" w:sz="0" w:space="0" w:color="auto"/>
            <w:bottom w:val="none" w:sz="0" w:space="0" w:color="auto"/>
            <w:right w:val="none" w:sz="0" w:space="0" w:color="auto"/>
          </w:divBdr>
        </w:div>
        <w:div w:id="1046947781">
          <w:marLeft w:val="0"/>
          <w:marRight w:val="0"/>
          <w:marTop w:val="0"/>
          <w:marBottom w:val="0"/>
          <w:divBdr>
            <w:top w:val="none" w:sz="0" w:space="0" w:color="auto"/>
            <w:left w:val="none" w:sz="0" w:space="0" w:color="auto"/>
            <w:bottom w:val="none" w:sz="0" w:space="0" w:color="auto"/>
            <w:right w:val="none" w:sz="0" w:space="0" w:color="auto"/>
          </w:divBdr>
        </w:div>
        <w:div w:id="1046947782">
          <w:marLeft w:val="0"/>
          <w:marRight w:val="0"/>
          <w:marTop w:val="0"/>
          <w:marBottom w:val="0"/>
          <w:divBdr>
            <w:top w:val="none" w:sz="0" w:space="0" w:color="auto"/>
            <w:left w:val="none" w:sz="0" w:space="0" w:color="auto"/>
            <w:bottom w:val="none" w:sz="0" w:space="0" w:color="auto"/>
            <w:right w:val="none" w:sz="0" w:space="0" w:color="auto"/>
          </w:divBdr>
        </w:div>
        <w:div w:id="1046947783">
          <w:marLeft w:val="0"/>
          <w:marRight w:val="0"/>
          <w:marTop w:val="0"/>
          <w:marBottom w:val="0"/>
          <w:divBdr>
            <w:top w:val="none" w:sz="0" w:space="0" w:color="auto"/>
            <w:left w:val="none" w:sz="0" w:space="0" w:color="auto"/>
            <w:bottom w:val="none" w:sz="0" w:space="0" w:color="auto"/>
            <w:right w:val="none" w:sz="0" w:space="0" w:color="auto"/>
          </w:divBdr>
        </w:div>
        <w:div w:id="1046947784">
          <w:marLeft w:val="0"/>
          <w:marRight w:val="0"/>
          <w:marTop w:val="0"/>
          <w:marBottom w:val="0"/>
          <w:divBdr>
            <w:top w:val="none" w:sz="0" w:space="0" w:color="auto"/>
            <w:left w:val="none" w:sz="0" w:space="0" w:color="auto"/>
            <w:bottom w:val="none" w:sz="0" w:space="0" w:color="auto"/>
            <w:right w:val="none" w:sz="0" w:space="0" w:color="auto"/>
          </w:divBdr>
        </w:div>
        <w:div w:id="1046947786">
          <w:marLeft w:val="0"/>
          <w:marRight w:val="0"/>
          <w:marTop w:val="0"/>
          <w:marBottom w:val="0"/>
          <w:divBdr>
            <w:top w:val="none" w:sz="0" w:space="0" w:color="auto"/>
            <w:left w:val="none" w:sz="0" w:space="0" w:color="auto"/>
            <w:bottom w:val="none" w:sz="0" w:space="0" w:color="auto"/>
            <w:right w:val="none" w:sz="0" w:space="0" w:color="auto"/>
          </w:divBdr>
        </w:div>
        <w:div w:id="1046947787">
          <w:marLeft w:val="0"/>
          <w:marRight w:val="0"/>
          <w:marTop w:val="0"/>
          <w:marBottom w:val="0"/>
          <w:divBdr>
            <w:top w:val="none" w:sz="0" w:space="0" w:color="auto"/>
            <w:left w:val="none" w:sz="0" w:space="0" w:color="auto"/>
            <w:bottom w:val="none" w:sz="0" w:space="0" w:color="auto"/>
            <w:right w:val="none" w:sz="0" w:space="0" w:color="auto"/>
          </w:divBdr>
        </w:div>
      </w:divsChild>
    </w:div>
    <w:div w:id="1046947785">
      <w:marLeft w:val="0"/>
      <w:marRight w:val="0"/>
      <w:marTop w:val="0"/>
      <w:marBottom w:val="0"/>
      <w:divBdr>
        <w:top w:val="none" w:sz="0" w:space="0" w:color="auto"/>
        <w:left w:val="none" w:sz="0" w:space="0" w:color="auto"/>
        <w:bottom w:val="none" w:sz="0" w:space="0" w:color="auto"/>
        <w:right w:val="none" w:sz="0" w:space="0" w:color="auto"/>
      </w:divBdr>
    </w:div>
    <w:div w:id="1046947788">
      <w:marLeft w:val="0"/>
      <w:marRight w:val="0"/>
      <w:marTop w:val="0"/>
      <w:marBottom w:val="0"/>
      <w:divBdr>
        <w:top w:val="none" w:sz="0" w:space="0" w:color="auto"/>
        <w:left w:val="none" w:sz="0" w:space="0" w:color="auto"/>
        <w:bottom w:val="none" w:sz="0" w:space="0" w:color="auto"/>
        <w:right w:val="none" w:sz="0" w:space="0" w:color="auto"/>
      </w:divBdr>
    </w:div>
    <w:div w:id="15494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uidelinesconsultation@ahpra.gov.a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ealth.gov.au/internet/main/publishing.nsf/Content/cda-cdna-bloodborne.htm" TargetMode="External"/><Relationship Id="rId2" Type="http://schemas.openxmlformats.org/officeDocument/2006/relationships/numbering" Target="numbering.xml"/><Relationship Id="rId16" Type="http://schemas.openxmlformats.org/officeDocument/2006/relationships/hyperlink" Target="http://www.health.gov.au/internet/main/publishing.nsf/Content/cda-cdna-bloodborne.ht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w3.org/TR/WCAG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idelinesconsultation@ahpra.gov.a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au/internet/main/publishing.nsf/Content/cda-cdna-bloodborne.htm" TargetMode="External"/><Relationship Id="rId1" Type="http://schemas.openxmlformats.org/officeDocument/2006/relationships/hyperlink" Target="http://www.nhmrc.gov.au/node/302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9BFB2-B484-4B7C-B2F3-A61C7FBD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5745</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regulatory management of registered health practitioners and students infected with blood-borne viruses</dc:title>
  <dc:subject>Public consultation</dc:subject>
  <dc:creator>AHPRA</dc:creator>
  <cp:lastModifiedBy>gmeade</cp:lastModifiedBy>
  <cp:revision>2</cp:revision>
  <cp:lastPrinted>2014-07-21T06:04:00Z</cp:lastPrinted>
  <dcterms:created xsi:type="dcterms:W3CDTF">2014-07-23T04:31:00Z</dcterms:created>
  <dcterms:modified xsi:type="dcterms:W3CDTF">2014-07-23T04:31:00Z</dcterms:modified>
</cp:coreProperties>
</file>