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CD3F82" w:rsidRDefault="00396773" w:rsidP="00CD3F82">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26 June</w:t>
      </w:r>
      <w:r w:rsidR="00CD3F82">
        <w:rPr>
          <w:rFonts w:ascii="Arial" w:hAnsi="Arial" w:cs="Arial"/>
          <w:color w:val="7F7F7F" w:themeColor="text1" w:themeTint="80"/>
          <w:sz w:val="28"/>
          <w:szCs w:val="28"/>
        </w:rPr>
        <w:t xml:space="preserve"> 2014</w:t>
      </w:r>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p w:rsidR="00CD3F82" w:rsidRDefault="00CD3F82" w:rsidP="00462C6A">
      <w:pPr>
        <w:pStyle w:val="AHPRAbody"/>
        <w:spacing w:after="120"/>
        <w:rPr>
          <w:lang w:val="en-GB"/>
        </w:rPr>
      </w:pPr>
      <w:r>
        <w:rPr>
          <w:rFonts w:cs="Arial"/>
          <w:color w:val="000000"/>
          <w:szCs w:val="20"/>
        </w:rPr>
        <w:t>The 5</w:t>
      </w:r>
      <w:r w:rsidR="00396773">
        <w:rPr>
          <w:rFonts w:cs="Arial"/>
          <w:color w:val="000000"/>
          <w:szCs w:val="20"/>
        </w:rPr>
        <w:t>8</w:t>
      </w:r>
      <w:r w:rsidR="000E7D7D" w:rsidRPr="000E7D7D">
        <w:rPr>
          <w:rFonts w:cs="Arial"/>
          <w:color w:val="000000"/>
          <w:szCs w:val="20"/>
          <w:vertAlign w:val="superscript"/>
        </w:rPr>
        <w:t>th</w:t>
      </w:r>
      <w:r>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396773">
        <w:rPr>
          <w:lang w:val="en-GB"/>
        </w:rPr>
        <w:t>26 June</w:t>
      </w:r>
      <w:r w:rsidR="000E7D7D">
        <w:rPr>
          <w:lang w:val="en-GB"/>
        </w:rPr>
        <w:t xml:space="preserve"> 2014 in Melbourne</w:t>
      </w:r>
      <w:r>
        <w:rPr>
          <w:rFonts w:cs="Arial"/>
          <w:szCs w:val="20"/>
        </w:rPr>
        <w:t xml:space="preserve">. </w:t>
      </w:r>
      <w:r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170908" w:rsidRPr="0080748E" w:rsidRDefault="00170908" w:rsidP="00170908">
      <w:pPr>
        <w:pStyle w:val="AHPRASubhead"/>
      </w:pPr>
      <w:r w:rsidRPr="0080748E">
        <w:t xml:space="preserve">Public consultation on </w:t>
      </w:r>
      <w:r>
        <w:t>CPD guidelines</w:t>
      </w:r>
    </w:p>
    <w:p w:rsidR="00A43B64" w:rsidRDefault="00A43B64" w:rsidP="00085AD4">
      <w:pPr>
        <w:shd w:val="clear" w:color="auto" w:fill="FFFFFF"/>
        <w:spacing w:before="166" w:after="166" w:line="166" w:lineRule="atLeast"/>
        <w:ind w:right="166"/>
      </w:pPr>
      <w:r>
        <w:rPr>
          <w:rFonts w:ascii="Arial" w:hAnsi="Arial" w:cs="Arial"/>
          <w:bCs/>
          <w:color w:val="000000" w:themeColor="text1"/>
          <w:sz w:val="20"/>
          <w:szCs w:val="20"/>
        </w:rPr>
        <w:t>T</w:t>
      </w:r>
      <w:r w:rsidR="00170908">
        <w:rPr>
          <w:rFonts w:ascii="Arial" w:hAnsi="Arial" w:cs="Arial"/>
          <w:bCs/>
          <w:color w:val="000000" w:themeColor="text1"/>
          <w:sz w:val="20"/>
          <w:szCs w:val="20"/>
        </w:rPr>
        <w:t xml:space="preserve">he Board </w:t>
      </w:r>
      <w:r>
        <w:rPr>
          <w:rFonts w:ascii="Arial" w:hAnsi="Arial" w:cs="Arial"/>
          <w:bCs/>
          <w:color w:val="000000" w:themeColor="text1"/>
          <w:sz w:val="20"/>
          <w:szCs w:val="20"/>
        </w:rPr>
        <w:t xml:space="preserve">will soon be releasing </w:t>
      </w:r>
      <w:r w:rsidRPr="0080748E">
        <w:rPr>
          <w:rFonts w:ascii="Arial" w:hAnsi="Arial" w:cs="Arial"/>
          <w:bCs/>
          <w:color w:val="000000" w:themeColor="text1"/>
          <w:sz w:val="20"/>
          <w:szCs w:val="20"/>
        </w:rPr>
        <w:t>a</w:t>
      </w:r>
      <w:r w:rsidRPr="00A43B64">
        <w:rPr>
          <w:rFonts w:ascii="Arial" w:hAnsi="Arial" w:cs="Arial"/>
          <w:bCs/>
          <w:color w:val="000000" w:themeColor="text1"/>
          <w:sz w:val="20"/>
          <w:szCs w:val="20"/>
        </w:rPr>
        <w:t xml:space="preserve"> review of its draft revised </w:t>
      </w:r>
      <w:r w:rsidR="0075280A" w:rsidRPr="0075280A">
        <w:rPr>
          <w:rFonts w:ascii="Arial" w:hAnsi="Arial" w:cs="Arial"/>
          <w:bCs/>
          <w:i/>
          <w:color w:val="000000" w:themeColor="text1"/>
          <w:sz w:val="20"/>
          <w:szCs w:val="20"/>
        </w:rPr>
        <w:t>Continuing professional development (CPD) guideline</w:t>
      </w:r>
      <w:r>
        <w:rPr>
          <w:rFonts w:ascii="Arial" w:hAnsi="Arial" w:cs="Arial"/>
          <w:bCs/>
          <w:i/>
          <w:color w:val="000000" w:themeColor="text1"/>
          <w:sz w:val="20"/>
          <w:szCs w:val="20"/>
        </w:rPr>
        <w:t>s</w:t>
      </w:r>
      <w:r>
        <w:rPr>
          <w:rFonts w:ascii="Arial" w:hAnsi="Arial" w:cs="Arial"/>
          <w:bCs/>
          <w:color w:val="000000" w:themeColor="text1"/>
          <w:sz w:val="20"/>
          <w:szCs w:val="20"/>
        </w:rPr>
        <w:t xml:space="preserve"> for</w:t>
      </w:r>
      <w:r w:rsidRPr="00A43B64">
        <w:rPr>
          <w:rFonts w:ascii="Arial" w:hAnsi="Arial" w:cs="Arial"/>
          <w:bCs/>
          <w:color w:val="000000" w:themeColor="text1"/>
          <w:sz w:val="20"/>
          <w:szCs w:val="20"/>
        </w:rPr>
        <w:t xml:space="preserve"> </w:t>
      </w:r>
      <w:hyperlink r:id="rId9" w:history="1">
        <w:r w:rsidR="00085AD4" w:rsidRPr="00F1073F">
          <w:rPr>
            <w:rStyle w:val="Hyperlink"/>
            <w:rFonts w:ascii="Arial" w:hAnsi="Arial" w:cs="Arial"/>
            <w:bCs/>
            <w:sz w:val="20"/>
            <w:szCs w:val="20"/>
          </w:rPr>
          <w:t>public consultation</w:t>
        </w:r>
      </w:hyperlink>
      <w:r>
        <w:rPr>
          <w:rFonts w:ascii="Arial" w:hAnsi="Arial" w:cs="Arial"/>
          <w:bCs/>
          <w:color w:val="000000" w:themeColor="text1"/>
          <w:sz w:val="20"/>
          <w:szCs w:val="20"/>
        </w:rPr>
        <w:t>.</w:t>
      </w:r>
    </w:p>
    <w:p w:rsidR="00085AD4" w:rsidRPr="0080748E" w:rsidRDefault="00085AD4" w:rsidP="00085AD4">
      <w:pPr>
        <w:shd w:val="clear" w:color="auto" w:fill="FFFFFF"/>
        <w:spacing w:before="166" w:after="166" w:line="166" w:lineRule="atLeast"/>
        <w:ind w:right="166"/>
        <w:rPr>
          <w:rFonts w:ascii="Arial" w:hAnsi="Arial" w:cs="Arial"/>
          <w:color w:val="000000" w:themeColor="text1"/>
          <w:sz w:val="20"/>
          <w:szCs w:val="20"/>
        </w:rPr>
      </w:pPr>
      <w:r w:rsidRPr="0080748E">
        <w:rPr>
          <w:rFonts w:ascii="Arial" w:hAnsi="Arial" w:cs="Arial"/>
          <w:color w:val="000000" w:themeColor="text1"/>
          <w:sz w:val="20"/>
          <w:szCs w:val="20"/>
        </w:rPr>
        <w:t>Please provide written submissions as a Word document (not PDF) by email, marked ‘Consu</w:t>
      </w:r>
      <w:r w:rsidR="00EE7B65">
        <w:rPr>
          <w:rFonts w:ascii="Arial" w:hAnsi="Arial" w:cs="Arial"/>
          <w:color w:val="000000" w:themeColor="text1"/>
          <w:sz w:val="20"/>
          <w:szCs w:val="20"/>
        </w:rPr>
        <w:t>ltation – CPD Guideline</w:t>
      </w:r>
      <w:r w:rsidR="00A43B64">
        <w:rPr>
          <w:rFonts w:ascii="Arial" w:hAnsi="Arial" w:cs="Arial"/>
          <w:color w:val="000000" w:themeColor="text1"/>
          <w:sz w:val="20"/>
          <w:szCs w:val="20"/>
        </w:rPr>
        <w:t>s</w:t>
      </w:r>
      <w:r w:rsidRPr="0080748E">
        <w:rPr>
          <w:rFonts w:ascii="Arial" w:hAnsi="Arial" w:cs="Arial"/>
          <w:color w:val="000000" w:themeColor="text1"/>
          <w:sz w:val="20"/>
          <w:szCs w:val="20"/>
        </w:rPr>
        <w:t>' to</w:t>
      </w:r>
      <w:r w:rsidRPr="00315156">
        <w:rPr>
          <w:rFonts w:ascii="Arial" w:hAnsi="Arial" w:cs="Arial"/>
          <w:color w:val="444444"/>
          <w:sz w:val="20"/>
          <w:szCs w:val="20"/>
        </w:rPr>
        <w:t xml:space="preserve"> </w:t>
      </w:r>
      <w:hyperlink r:id="rId10" w:history="1">
        <w:r w:rsidRPr="000E2B8F">
          <w:rPr>
            <w:rStyle w:val="Hyperlink"/>
            <w:rFonts w:ascii="Arial" w:hAnsi="Arial" w:cs="Arial"/>
            <w:b/>
            <w:sz w:val="20"/>
            <w:szCs w:val="20"/>
          </w:rPr>
          <w:t>osteoboardconsultation@ahpra.gov.au</w:t>
        </w:r>
      </w:hyperlink>
      <w:r w:rsidRPr="00315156">
        <w:rPr>
          <w:rFonts w:ascii="Arial" w:hAnsi="Arial" w:cs="Arial"/>
          <w:color w:val="444444"/>
          <w:sz w:val="20"/>
          <w:szCs w:val="20"/>
        </w:rPr>
        <w:t xml:space="preserve"> </w:t>
      </w:r>
      <w:r w:rsidRPr="0080748E">
        <w:rPr>
          <w:rFonts w:ascii="Arial" w:hAnsi="Arial" w:cs="Arial"/>
          <w:color w:val="000000" w:themeColor="text1"/>
          <w:sz w:val="20"/>
          <w:szCs w:val="20"/>
        </w:rPr>
        <w:t xml:space="preserve">by close of business </w:t>
      </w:r>
      <w:r>
        <w:rPr>
          <w:rFonts w:ascii="Arial" w:hAnsi="Arial" w:cs="Arial"/>
          <w:color w:val="000000" w:themeColor="text1"/>
          <w:sz w:val="20"/>
          <w:szCs w:val="20"/>
        </w:rPr>
        <w:t>29 August</w:t>
      </w:r>
      <w:r w:rsidRPr="0080748E">
        <w:rPr>
          <w:rFonts w:ascii="Arial" w:hAnsi="Arial" w:cs="Arial"/>
          <w:color w:val="000000" w:themeColor="text1"/>
          <w:sz w:val="20"/>
          <w:szCs w:val="20"/>
        </w:rPr>
        <w:t xml:space="preserve"> 2014. </w:t>
      </w:r>
    </w:p>
    <w:p w:rsidR="00170908" w:rsidRDefault="00085AD4" w:rsidP="00085AD4">
      <w:pPr>
        <w:shd w:val="clear" w:color="auto" w:fill="FFFFFF"/>
        <w:spacing w:before="166" w:after="166" w:line="166" w:lineRule="atLeast"/>
        <w:ind w:right="166"/>
        <w:rPr>
          <w:rFonts w:ascii="Arial" w:hAnsi="Arial" w:cs="Arial"/>
          <w:color w:val="000000" w:themeColor="text1"/>
          <w:sz w:val="20"/>
          <w:szCs w:val="20"/>
        </w:rPr>
      </w:pPr>
      <w:r w:rsidRPr="0080748E">
        <w:rPr>
          <w:rFonts w:ascii="Arial" w:hAnsi="Arial" w:cs="Arial"/>
          <w:color w:val="000000" w:themeColor="text1"/>
          <w:sz w:val="20"/>
          <w:szCs w:val="20"/>
        </w:rPr>
        <w:t xml:space="preserve">The Board will publish submissions received on its website under </w:t>
      </w:r>
      <w:hyperlink r:id="rId11" w:history="1">
        <w:r w:rsidR="0075280A" w:rsidRPr="0075280A">
          <w:rPr>
            <w:rStyle w:val="Hyperlink"/>
            <w:rFonts w:ascii="Arial" w:hAnsi="Arial" w:cs="Arial"/>
            <w:i/>
            <w:sz w:val="20"/>
            <w:szCs w:val="20"/>
          </w:rPr>
          <w:t>Past consultations</w:t>
        </w:r>
      </w:hyperlink>
      <w:r>
        <w:t xml:space="preserve"> </w:t>
      </w:r>
      <w:r w:rsidRPr="0080748E">
        <w:rPr>
          <w:rFonts w:ascii="Arial" w:hAnsi="Arial" w:cs="Arial"/>
          <w:color w:val="000000" w:themeColor="text1"/>
          <w:sz w:val="20"/>
          <w:szCs w:val="20"/>
        </w:rPr>
        <w:t>to encourage discussion and inform the community and stakeholders, unless requested otherwise</w:t>
      </w:r>
      <w:r>
        <w:rPr>
          <w:rFonts w:ascii="Arial" w:hAnsi="Arial" w:cs="Arial"/>
          <w:color w:val="000000" w:themeColor="text1"/>
          <w:sz w:val="20"/>
          <w:szCs w:val="20"/>
        </w:rPr>
        <w:t>, or there are</w:t>
      </w:r>
      <w:r w:rsidRPr="0080748E">
        <w:rPr>
          <w:rFonts w:ascii="Arial" w:hAnsi="Arial" w:cs="Arial"/>
          <w:color w:val="000000" w:themeColor="text1"/>
          <w:sz w:val="20"/>
          <w:szCs w:val="20"/>
        </w:rPr>
        <w:t xml:space="preserve"> circumstances under which submissions may not be published.</w:t>
      </w:r>
    </w:p>
    <w:p w:rsidR="00A43B64" w:rsidRDefault="00A43B64" w:rsidP="00A43B64">
      <w:pPr>
        <w:shd w:val="clear" w:color="auto" w:fill="FFFFFF"/>
        <w:spacing w:before="166" w:after="166" w:line="166" w:lineRule="atLeast"/>
        <w:ind w:right="166"/>
        <w:rPr>
          <w:rFonts w:ascii="Arial" w:hAnsi="Arial" w:cs="Arial"/>
          <w:bCs/>
          <w:color w:val="000000" w:themeColor="text1"/>
          <w:sz w:val="20"/>
          <w:szCs w:val="20"/>
        </w:rPr>
      </w:pPr>
      <w:r w:rsidRPr="00A43B64">
        <w:rPr>
          <w:rFonts w:ascii="Arial" w:hAnsi="Arial" w:cs="Arial"/>
          <w:sz w:val="20"/>
          <w:szCs w:val="20"/>
        </w:rPr>
        <w:t xml:space="preserve">Earlier in the year the </w:t>
      </w:r>
      <w:r w:rsidR="0075280A" w:rsidRPr="0075280A">
        <w:rPr>
          <w:rFonts w:ascii="Arial" w:hAnsi="Arial" w:cs="Arial"/>
          <w:i/>
          <w:sz w:val="20"/>
          <w:szCs w:val="20"/>
        </w:rPr>
        <w:t>CPD guidelines</w:t>
      </w:r>
      <w:r w:rsidRPr="00A43B64">
        <w:rPr>
          <w:rFonts w:ascii="Arial" w:hAnsi="Arial" w:cs="Arial"/>
          <w:sz w:val="20"/>
          <w:szCs w:val="20"/>
        </w:rPr>
        <w:t xml:space="preserve"> were released for targeted, preliminary consultation. </w:t>
      </w:r>
      <w:r w:rsidRPr="00A43B64">
        <w:rPr>
          <w:rFonts w:ascii="Arial" w:hAnsi="Arial" w:cs="Arial"/>
          <w:bCs/>
          <w:color w:val="000000" w:themeColor="text1"/>
          <w:sz w:val="20"/>
          <w:szCs w:val="20"/>
        </w:rPr>
        <w:t>The Board appreciates the feedback it received during the preliminary consultation</w:t>
      </w:r>
      <w:r>
        <w:rPr>
          <w:rFonts w:ascii="Arial" w:hAnsi="Arial" w:cs="Arial"/>
          <w:bCs/>
          <w:color w:val="000000" w:themeColor="text1"/>
          <w:sz w:val="20"/>
          <w:szCs w:val="20"/>
        </w:rPr>
        <w:t xml:space="preserve"> and has taken some extra time incorporating a large proportion of this feedback into the public consultation draft that will be released this month.</w:t>
      </w:r>
    </w:p>
    <w:p w:rsidR="00FC2543" w:rsidRDefault="00FC2543" w:rsidP="00FC2543">
      <w:pPr>
        <w:pStyle w:val="AHPRASubhead"/>
      </w:pPr>
      <w:r>
        <w:t>Panel member recruitment</w:t>
      </w:r>
    </w:p>
    <w:p w:rsidR="00FC2543" w:rsidRDefault="00FC2543" w:rsidP="005031E6">
      <w:pPr>
        <w:pStyle w:val="AHPRAbody"/>
        <w:tabs>
          <w:tab w:val="left" w:pos="0"/>
        </w:tabs>
        <w:rPr>
          <w:szCs w:val="20"/>
        </w:rPr>
      </w:pPr>
      <w:r>
        <w:t>T</w:t>
      </w:r>
      <w:r w:rsidR="005031E6">
        <w:t xml:space="preserve">he Board approved the appointment of 12 osteopathy practitioners from five states and territories </w:t>
      </w:r>
      <w:r>
        <w:rPr>
          <w:szCs w:val="20"/>
        </w:rPr>
        <w:t xml:space="preserve">on a </w:t>
      </w:r>
      <w:r w:rsidR="00A43B64">
        <w:rPr>
          <w:szCs w:val="20"/>
        </w:rPr>
        <w:t>l</w:t>
      </w:r>
      <w:r>
        <w:rPr>
          <w:szCs w:val="20"/>
        </w:rPr>
        <w:t xml:space="preserve">ist of </w:t>
      </w:r>
      <w:r w:rsidR="00A43B64">
        <w:rPr>
          <w:szCs w:val="20"/>
        </w:rPr>
        <w:t>a</w:t>
      </w:r>
      <w:r>
        <w:rPr>
          <w:szCs w:val="20"/>
        </w:rPr>
        <w:t xml:space="preserve">pproved </w:t>
      </w:r>
      <w:r w:rsidR="00A43B64">
        <w:rPr>
          <w:szCs w:val="20"/>
        </w:rPr>
        <w:t>p</w:t>
      </w:r>
      <w:r>
        <w:rPr>
          <w:szCs w:val="20"/>
        </w:rPr>
        <w:t xml:space="preserve">ersons </w:t>
      </w:r>
      <w:r w:rsidR="009604A7">
        <w:rPr>
          <w:szCs w:val="20"/>
        </w:rPr>
        <w:t xml:space="preserve">(LAP) </w:t>
      </w:r>
      <w:r>
        <w:rPr>
          <w:szCs w:val="20"/>
        </w:rPr>
        <w:t>for appointment to panels.</w:t>
      </w:r>
      <w:r w:rsidR="005031E6">
        <w:rPr>
          <w:szCs w:val="20"/>
        </w:rPr>
        <w:t xml:space="preserve"> These positions were advertised in February and March 2014 and the Board is very pleased with the response, as there is now a much wider geographical spread of appointees. Letters will be sent to </w:t>
      </w:r>
      <w:r w:rsidR="00A43B64">
        <w:rPr>
          <w:szCs w:val="20"/>
        </w:rPr>
        <w:t xml:space="preserve">successful applicants </w:t>
      </w:r>
      <w:r w:rsidR="009604A7">
        <w:rPr>
          <w:szCs w:val="20"/>
        </w:rPr>
        <w:t>this month.</w:t>
      </w:r>
    </w:p>
    <w:p w:rsidR="009604A7" w:rsidRPr="005031E6" w:rsidRDefault="009604A7" w:rsidP="005031E6">
      <w:pPr>
        <w:pStyle w:val="AHPRAbody"/>
        <w:tabs>
          <w:tab w:val="left" w:pos="0"/>
        </w:tabs>
      </w:pPr>
      <w:r>
        <w:rPr>
          <w:szCs w:val="20"/>
        </w:rPr>
        <w:t xml:space="preserve">The Board also approved the appointment of three medical practitioners to the Board’s LAP, and </w:t>
      </w:r>
      <w:r w:rsidRPr="006B6627">
        <w:t>the appointments of 104 current community panel members to the cross</w:t>
      </w:r>
      <w:r w:rsidR="00A43B64">
        <w:t>-</w:t>
      </w:r>
      <w:r w:rsidRPr="006B6627">
        <w:t xml:space="preserve">profession </w:t>
      </w:r>
      <w:r>
        <w:t xml:space="preserve">LAP. </w:t>
      </w:r>
    </w:p>
    <w:p w:rsidR="00FC2543" w:rsidRPr="005031E6" w:rsidRDefault="009604A7" w:rsidP="005031E6">
      <w:pPr>
        <w:pStyle w:val="AHPRAbody"/>
        <w:rPr>
          <w:szCs w:val="20"/>
          <w:lang w:eastAsia="en-AU"/>
        </w:rPr>
      </w:pPr>
      <w:r>
        <w:rPr>
          <w:szCs w:val="20"/>
          <w:lang w:eastAsia="en-AU"/>
        </w:rPr>
        <w:t>The</w:t>
      </w:r>
      <w:r w:rsidR="00FC2543">
        <w:rPr>
          <w:szCs w:val="20"/>
          <w:lang w:eastAsia="en-AU"/>
        </w:rPr>
        <w:t xml:space="preserve"> Board convenes health panels and performance and professional standards panels when required to hold hearings into specific health, performance or conduct matters for individual registered health professionals</w:t>
      </w:r>
      <w:r>
        <w:rPr>
          <w:szCs w:val="20"/>
          <w:lang w:eastAsia="en-AU"/>
        </w:rPr>
        <w:t>; and chooses</w:t>
      </w:r>
      <w:r w:rsidR="00FC2543">
        <w:rPr>
          <w:szCs w:val="20"/>
          <w:lang w:eastAsia="en-AU"/>
        </w:rPr>
        <w:t xml:space="preserve"> </w:t>
      </w:r>
      <w:r>
        <w:rPr>
          <w:szCs w:val="20"/>
          <w:lang w:eastAsia="en-AU"/>
        </w:rPr>
        <w:t xml:space="preserve">panel </w:t>
      </w:r>
      <w:r w:rsidR="00FC2543">
        <w:rPr>
          <w:szCs w:val="20"/>
          <w:lang w:eastAsia="en-AU"/>
        </w:rPr>
        <w:t xml:space="preserve">members from a </w:t>
      </w:r>
      <w:r>
        <w:rPr>
          <w:szCs w:val="20"/>
          <w:lang w:eastAsia="en-AU"/>
        </w:rPr>
        <w:t>LAP</w:t>
      </w:r>
      <w:r w:rsidR="00FC2543">
        <w:rPr>
          <w:szCs w:val="20"/>
          <w:lang w:eastAsia="en-AU"/>
        </w:rPr>
        <w:t>.</w:t>
      </w:r>
      <w:r w:rsidR="005031E6">
        <w:rPr>
          <w:szCs w:val="20"/>
          <w:lang w:eastAsia="en-AU"/>
        </w:rPr>
        <w:t xml:space="preserve"> </w:t>
      </w:r>
    </w:p>
    <w:p w:rsidR="00396773" w:rsidRDefault="00396773" w:rsidP="00396773">
      <w:pPr>
        <w:pStyle w:val="AHPRAbody"/>
        <w:tabs>
          <w:tab w:val="left" w:pos="0"/>
        </w:tabs>
        <w:rPr>
          <w:rFonts w:cs="Arial"/>
          <w:b/>
          <w:bCs/>
          <w:color w:val="008EC4"/>
          <w:szCs w:val="20"/>
        </w:rPr>
      </w:pPr>
      <w:r>
        <w:rPr>
          <w:rFonts w:cs="Arial"/>
          <w:b/>
          <w:bCs/>
          <w:color w:val="008EC4"/>
          <w:szCs w:val="20"/>
        </w:rPr>
        <w:t>Queensland – new arrangements for handling notifications from 1 July 2014</w:t>
      </w:r>
    </w:p>
    <w:p w:rsidR="00396773" w:rsidRDefault="00396773" w:rsidP="00396773">
      <w:pPr>
        <w:shd w:val="clear" w:color="auto" w:fill="FFFFFF"/>
        <w:spacing w:before="144" w:after="144" w:line="144" w:lineRule="atLeast"/>
        <w:ind w:right="144"/>
        <w:rPr>
          <w:rFonts w:ascii="Arial" w:hAnsi="Arial" w:cs="Arial"/>
          <w:sz w:val="20"/>
          <w:szCs w:val="20"/>
        </w:rPr>
      </w:pPr>
      <w:r w:rsidRPr="00591036">
        <w:rPr>
          <w:rFonts w:ascii="Arial" w:hAnsi="Arial" w:cs="Arial"/>
          <w:sz w:val="20"/>
          <w:szCs w:val="20"/>
        </w:rPr>
        <w:t xml:space="preserve">From </w:t>
      </w:r>
      <w:r w:rsidRPr="00591036">
        <w:rPr>
          <w:rStyle w:val="Strong"/>
          <w:rFonts w:ascii="Arial" w:hAnsi="Arial" w:cs="Arial"/>
          <w:sz w:val="20"/>
          <w:szCs w:val="20"/>
        </w:rPr>
        <w:t>1 July 2014</w:t>
      </w:r>
      <w:r w:rsidRPr="00591036">
        <w:rPr>
          <w:rFonts w:ascii="Arial" w:hAnsi="Arial" w:cs="Arial"/>
          <w:sz w:val="20"/>
          <w:szCs w:val="20"/>
        </w:rPr>
        <w:t xml:space="preserve"> </w:t>
      </w:r>
      <w:r>
        <w:rPr>
          <w:rFonts w:ascii="Arial" w:hAnsi="Arial" w:cs="Arial"/>
          <w:sz w:val="20"/>
          <w:szCs w:val="20"/>
        </w:rPr>
        <w:t xml:space="preserve">a new law comes in to effect in Queensland, the </w:t>
      </w:r>
      <w:r w:rsidRPr="00CA1299">
        <w:rPr>
          <w:rStyle w:val="Emphasis"/>
          <w:rFonts w:ascii="Arial" w:hAnsi="Arial" w:cs="Arial"/>
          <w:sz w:val="20"/>
          <w:szCs w:val="20"/>
          <w:shd w:val="clear" w:color="auto" w:fill="FFFFFF"/>
        </w:rPr>
        <w:t>Health Ombudsman Act</w:t>
      </w:r>
      <w:r>
        <w:rPr>
          <w:rStyle w:val="Emphasis"/>
          <w:rFonts w:ascii="Arial" w:hAnsi="Arial" w:cs="Arial"/>
          <w:sz w:val="20"/>
          <w:szCs w:val="20"/>
          <w:shd w:val="clear" w:color="auto" w:fill="FFFFFF"/>
        </w:rPr>
        <w:t xml:space="preserve"> 2013</w:t>
      </w:r>
      <w:r w:rsidRPr="00CA1299">
        <w:rPr>
          <w:rFonts w:ascii="Arial" w:hAnsi="Arial" w:cs="Arial"/>
          <w:sz w:val="20"/>
          <w:szCs w:val="20"/>
        </w:rPr>
        <w:t>.</w:t>
      </w:r>
      <w:r>
        <w:rPr>
          <w:rFonts w:ascii="Arial" w:hAnsi="Arial" w:cs="Arial"/>
          <w:sz w:val="20"/>
          <w:szCs w:val="20"/>
        </w:rPr>
        <w:t xml:space="preserve"> </w:t>
      </w:r>
    </w:p>
    <w:p w:rsidR="00396773" w:rsidRDefault="00396773" w:rsidP="00396773">
      <w:pPr>
        <w:shd w:val="clear" w:color="auto" w:fill="FFFFFF"/>
        <w:spacing w:before="144" w:after="144" w:line="144" w:lineRule="atLeast"/>
        <w:ind w:right="144"/>
        <w:rPr>
          <w:rFonts w:ascii="Arial" w:hAnsi="Arial" w:cs="Arial"/>
          <w:sz w:val="20"/>
          <w:szCs w:val="20"/>
        </w:rPr>
      </w:pPr>
      <w:r>
        <w:rPr>
          <w:rFonts w:ascii="Arial" w:hAnsi="Arial" w:cs="Arial"/>
          <w:sz w:val="20"/>
          <w:szCs w:val="20"/>
        </w:rPr>
        <w:t xml:space="preserve">From this date, </w:t>
      </w:r>
      <w:r w:rsidRPr="00591036">
        <w:rPr>
          <w:rFonts w:ascii="Arial" w:hAnsi="Arial" w:cs="Arial"/>
          <w:sz w:val="20"/>
          <w:szCs w:val="20"/>
        </w:rPr>
        <w:t>all complaints about Queensland health practitioners will be received by the Office of the Health Ombudsman (OHO</w:t>
      </w:r>
      <w:r>
        <w:rPr>
          <w:rFonts w:ascii="Arial" w:hAnsi="Arial" w:cs="Arial"/>
          <w:sz w:val="20"/>
          <w:szCs w:val="20"/>
        </w:rPr>
        <w:t>)</w:t>
      </w:r>
      <w:r w:rsidRPr="00CA1299">
        <w:rPr>
          <w:rFonts w:ascii="Arial" w:hAnsi="Arial" w:cs="Arial"/>
          <w:sz w:val="20"/>
          <w:szCs w:val="20"/>
        </w:rPr>
        <w:t xml:space="preserve"> who will either manage the matters or refer them to the relevant National Board to manage.</w:t>
      </w:r>
    </w:p>
    <w:p w:rsidR="00396773" w:rsidRDefault="00396773" w:rsidP="00396773">
      <w:pPr>
        <w:rPr>
          <w:rFonts w:ascii="Arial" w:hAnsi="Arial" w:cs="Arial"/>
          <w:sz w:val="20"/>
          <w:szCs w:val="20"/>
        </w:rPr>
      </w:pPr>
      <w:r w:rsidRPr="00591036">
        <w:rPr>
          <w:rFonts w:ascii="Arial" w:hAnsi="Arial" w:cs="Arial"/>
          <w:sz w:val="20"/>
          <w:szCs w:val="20"/>
        </w:rPr>
        <w:t xml:space="preserve">Complaints that were made to AHPRA or National Boards before 1 July 2014 will generally continue to be managed by AHPRA on behalf of National Boards. </w:t>
      </w:r>
      <w:r w:rsidRPr="00CA1299">
        <w:rPr>
          <w:rFonts w:ascii="Arial" w:hAnsi="Arial" w:cs="Arial"/>
          <w:sz w:val="20"/>
          <w:szCs w:val="20"/>
        </w:rPr>
        <w:t xml:space="preserve">However, under the new law the Office of the Health Ombudsman can request that a matter be referred to </w:t>
      </w:r>
      <w:r>
        <w:rPr>
          <w:rFonts w:ascii="Arial" w:hAnsi="Arial" w:cs="Arial"/>
          <w:sz w:val="20"/>
          <w:szCs w:val="20"/>
        </w:rPr>
        <w:t>them</w:t>
      </w:r>
      <w:r w:rsidRPr="00CA1299">
        <w:rPr>
          <w:rFonts w:ascii="Arial" w:hAnsi="Arial" w:cs="Arial"/>
          <w:sz w:val="20"/>
          <w:szCs w:val="20"/>
        </w:rPr>
        <w:t xml:space="preserve"> to be managed. </w:t>
      </w:r>
      <w:r>
        <w:rPr>
          <w:rFonts w:ascii="Arial" w:hAnsi="Arial" w:cs="Arial"/>
          <w:sz w:val="20"/>
          <w:szCs w:val="20"/>
        </w:rPr>
        <w:t>I</w:t>
      </w:r>
      <w:r w:rsidRPr="00CA1299">
        <w:rPr>
          <w:rFonts w:ascii="Arial" w:hAnsi="Arial" w:cs="Arial"/>
          <w:sz w:val="20"/>
          <w:szCs w:val="20"/>
        </w:rPr>
        <w:t xml:space="preserve">f this were to happen, </w:t>
      </w:r>
      <w:r>
        <w:rPr>
          <w:rFonts w:ascii="Arial" w:hAnsi="Arial" w:cs="Arial"/>
          <w:sz w:val="20"/>
          <w:szCs w:val="20"/>
        </w:rPr>
        <w:t>AHPRA will inform both the notifier and the practitioner who is the subject of the notification.</w:t>
      </w:r>
    </w:p>
    <w:p w:rsidR="00396773" w:rsidRPr="00591036" w:rsidRDefault="00396773" w:rsidP="00396773">
      <w:pPr>
        <w:shd w:val="clear" w:color="auto" w:fill="FFFFFF"/>
        <w:spacing w:before="144" w:after="200" w:line="144" w:lineRule="atLeast"/>
        <w:ind w:right="142"/>
        <w:rPr>
          <w:rFonts w:ascii="Arial" w:hAnsi="Arial" w:cs="Arial"/>
          <w:sz w:val="20"/>
          <w:szCs w:val="20"/>
        </w:rPr>
      </w:pPr>
      <w:r w:rsidRPr="00591036">
        <w:rPr>
          <w:rFonts w:ascii="Arial" w:hAnsi="Arial" w:cs="Arial"/>
          <w:sz w:val="20"/>
          <w:szCs w:val="20"/>
        </w:rPr>
        <w:t xml:space="preserve">For information about the </w:t>
      </w:r>
      <w:r>
        <w:rPr>
          <w:rFonts w:ascii="Arial" w:hAnsi="Arial" w:cs="Arial"/>
          <w:sz w:val="20"/>
          <w:szCs w:val="20"/>
        </w:rPr>
        <w:t xml:space="preserve">Office of the Health Ombudsman please go to </w:t>
      </w:r>
      <w:hyperlink r:id="rId12" w:history="1">
        <w:r w:rsidRPr="005A0ED3">
          <w:rPr>
            <w:rStyle w:val="Hyperlink"/>
            <w:rFonts w:ascii="Arial" w:hAnsi="Arial" w:cs="Arial"/>
            <w:sz w:val="20"/>
            <w:szCs w:val="20"/>
          </w:rPr>
          <w:t>www.oho.qld.gov.au</w:t>
        </w:r>
      </w:hyperlink>
      <w:r>
        <w:rPr>
          <w:rFonts w:ascii="Arial" w:hAnsi="Arial" w:cs="Arial"/>
          <w:sz w:val="20"/>
          <w:szCs w:val="20"/>
        </w:rPr>
        <w:t xml:space="preserve"> or call </w:t>
      </w:r>
      <w:r w:rsidRPr="00591036">
        <w:rPr>
          <w:rFonts w:ascii="Arial" w:hAnsi="Arial" w:cs="Arial"/>
          <w:sz w:val="20"/>
          <w:szCs w:val="20"/>
        </w:rPr>
        <w:t xml:space="preserve">133 646 (133 OHO). </w:t>
      </w:r>
    </w:p>
    <w:p w:rsidR="009604A7" w:rsidRDefault="009604A7">
      <w:pPr>
        <w:rPr>
          <w:rFonts w:ascii="Arial" w:eastAsiaTheme="minorHAnsi" w:hAnsi="Arial" w:cs="Arial"/>
          <w:b/>
          <w:color w:val="008EC4"/>
          <w:sz w:val="20"/>
          <w:szCs w:val="20"/>
          <w:lang w:val="en-US" w:eastAsia="en-US"/>
        </w:rPr>
      </w:pPr>
    </w:p>
    <w:p w:rsidR="00396773" w:rsidRPr="00E53E94" w:rsidRDefault="00396773" w:rsidP="00396773">
      <w:pPr>
        <w:pStyle w:val="AHPRASubhead"/>
        <w:spacing w:before="200"/>
        <w:rPr>
          <w:rFonts w:cs="Arial"/>
          <w:szCs w:val="20"/>
        </w:rPr>
      </w:pPr>
      <w:r w:rsidRPr="00E53E94">
        <w:rPr>
          <w:rFonts w:cs="Arial"/>
          <w:szCs w:val="20"/>
        </w:rPr>
        <w:t xml:space="preserve">Data </w:t>
      </w:r>
      <w:r>
        <w:rPr>
          <w:rFonts w:cs="Arial"/>
          <w:szCs w:val="20"/>
        </w:rPr>
        <w:t>a</w:t>
      </w:r>
      <w:r w:rsidRPr="00E53E94">
        <w:rPr>
          <w:rFonts w:cs="Arial"/>
          <w:szCs w:val="20"/>
        </w:rPr>
        <w:t xml:space="preserve">ccess and </w:t>
      </w:r>
      <w:r>
        <w:rPr>
          <w:rFonts w:cs="Arial"/>
          <w:szCs w:val="20"/>
        </w:rPr>
        <w:t>r</w:t>
      </w:r>
      <w:r w:rsidRPr="00E53E94">
        <w:rPr>
          <w:rFonts w:cs="Arial"/>
          <w:szCs w:val="20"/>
        </w:rPr>
        <w:t xml:space="preserve">esearch </w:t>
      </w:r>
      <w:r>
        <w:rPr>
          <w:rFonts w:cs="Arial"/>
          <w:szCs w:val="20"/>
        </w:rPr>
        <w:t>p</w:t>
      </w:r>
      <w:r w:rsidRPr="00E53E94">
        <w:rPr>
          <w:rFonts w:cs="Arial"/>
          <w:szCs w:val="20"/>
        </w:rPr>
        <w:t>olicy</w:t>
      </w:r>
    </w:p>
    <w:p w:rsidR="00396773" w:rsidRPr="00E53E94" w:rsidRDefault="00396773" w:rsidP="00396773">
      <w:pPr>
        <w:shd w:val="clear" w:color="auto" w:fill="FFFFFF"/>
        <w:spacing w:before="200" w:after="200"/>
        <w:ind w:right="272"/>
        <w:rPr>
          <w:rFonts w:ascii="Arial" w:hAnsi="Arial" w:cs="Arial"/>
          <w:sz w:val="20"/>
          <w:szCs w:val="20"/>
        </w:rPr>
      </w:pPr>
      <w:r>
        <w:rPr>
          <w:rFonts w:ascii="Arial" w:hAnsi="Arial" w:cs="Arial"/>
          <w:sz w:val="20"/>
          <w:szCs w:val="20"/>
        </w:rPr>
        <w:t>AHPRA and National Boards regularly receive requests for access to data about registered practitioners.  T</w:t>
      </w:r>
      <w:r w:rsidRPr="00E53E94">
        <w:rPr>
          <w:rFonts w:ascii="Arial" w:hAnsi="Arial" w:cs="Arial"/>
          <w:sz w:val="20"/>
          <w:szCs w:val="20"/>
        </w:rPr>
        <w:t xml:space="preserve">he </w:t>
      </w:r>
      <w:r w:rsidRPr="00E53E94">
        <w:rPr>
          <w:rFonts w:ascii="Arial" w:hAnsi="Arial" w:cs="Arial"/>
          <w:i/>
          <w:iCs/>
          <w:sz w:val="20"/>
          <w:szCs w:val="20"/>
        </w:rPr>
        <w:t xml:space="preserve">Data </w:t>
      </w:r>
      <w:r>
        <w:rPr>
          <w:rFonts w:ascii="Arial" w:hAnsi="Arial" w:cs="Arial"/>
          <w:i/>
          <w:iCs/>
          <w:sz w:val="20"/>
          <w:szCs w:val="20"/>
        </w:rPr>
        <w:t>a</w:t>
      </w:r>
      <w:r w:rsidRPr="00E53E94">
        <w:rPr>
          <w:rFonts w:ascii="Arial" w:hAnsi="Arial" w:cs="Arial"/>
          <w:i/>
          <w:iCs/>
          <w:sz w:val="20"/>
          <w:szCs w:val="20"/>
        </w:rPr>
        <w:t xml:space="preserve">ccess and </w:t>
      </w:r>
      <w:r>
        <w:rPr>
          <w:rFonts w:ascii="Arial" w:hAnsi="Arial" w:cs="Arial"/>
          <w:i/>
          <w:iCs/>
          <w:sz w:val="20"/>
          <w:szCs w:val="20"/>
        </w:rPr>
        <w:t>r</w:t>
      </w:r>
      <w:r w:rsidRPr="00E53E94">
        <w:rPr>
          <w:rFonts w:ascii="Arial" w:hAnsi="Arial" w:cs="Arial"/>
          <w:i/>
          <w:iCs/>
          <w:sz w:val="20"/>
          <w:szCs w:val="20"/>
        </w:rPr>
        <w:t xml:space="preserve">esearch </w:t>
      </w:r>
      <w:r>
        <w:rPr>
          <w:rFonts w:ascii="Arial" w:hAnsi="Arial" w:cs="Arial"/>
          <w:i/>
          <w:iCs/>
          <w:sz w:val="20"/>
          <w:szCs w:val="20"/>
        </w:rPr>
        <w:t>p</w:t>
      </w:r>
      <w:r w:rsidRPr="00E53E94">
        <w:rPr>
          <w:rFonts w:ascii="Arial" w:hAnsi="Arial" w:cs="Arial"/>
          <w:i/>
          <w:iCs/>
          <w:sz w:val="20"/>
          <w:szCs w:val="20"/>
        </w:rPr>
        <w:t>olicy</w:t>
      </w:r>
      <w:r w:rsidRPr="00E53E94">
        <w:rPr>
          <w:rFonts w:ascii="Arial" w:hAnsi="Arial" w:cs="Arial"/>
          <w:sz w:val="20"/>
          <w:szCs w:val="20"/>
        </w:rPr>
        <w:t xml:space="preserve"> </w:t>
      </w:r>
      <w:r>
        <w:rPr>
          <w:rFonts w:ascii="Arial" w:hAnsi="Arial" w:cs="Arial"/>
          <w:sz w:val="20"/>
          <w:szCs w:val="20"/>
        </w:rPr>
        <w:t xml:space="preserve">was developed by AHPRA and National Boards </w:t>
      </w:r>
      <w:r w:rsidRPr="00E53E94">
        <w:rPr>
          <w:rFonts w:ascii="Arial" w:hAnsi="Arial" w:cs="Arial"/>
          <w:sz w:val="20"/>
          <w:szCs w:val="20"/>
        </w:rPr>
        <w:t>to</w:t>
      </w:r>
      <w:r>
        <w:rPr>
          <w:rFonts w:ascii="Arial" w:hAnsi="Arial" w:cs="Arial"/>
          <w:color w:val="444444"/>
          <w:sz w:val="20"/>
          <w:szCs w:val="20"/>
        </w:rPr>
        <w:t xml:space="preserve"> </w:t>
      </w:r>
      <w:r w:rsidRPr="00E53E94">
        <w:rPr>
          <w:rFonts w:ascii="Arial" w:hAnsi="Arial" w:cs="Arial"/>
          <w:sz w:val="20"/>
          <w:szCs w:val="20"/>
        </w:rPr>
        <w:t>maximise benefits that data access can bring, while managing risks to the privacy of practitioners whose information we have collected and hold for the purposes of the National Law and other statutory obligations.</w:t>
      </w:r>
      <w:r>
        <w:rPr>
          <w:rFonts w:ascii="Arial" w:hAnsi="Arial" w:cs="Arial"/>
          <w:sz w:val="20"/>
          <w:szCs w:val="20"/>
        </w:rPr>
        <w:t xml:space="preserve"> The policy is available on the AHPRA </w:t>
      </w:r>
      <w:hyperlink r:id="rId13" w:history="1">
        <w:r w:rsidRPr="00E53E94">
          <w:rPr>
            <w:rStyle w:val="Hyperlink"/>
            <w:rFonts w:ascii="Arial" w:hAnsi="Arial" w:cs="Arial"/>
            <w:sz w:val="20"/>
            <w:szCs w:val="20"/>
          </w:rPr>
          <w:t>website</w:t>
        </w:r>
      </w:hyperlink>
      <w:r>
        <w:rPr>
          <w:rFonts w:ascii="Arial" w:hAnsi="Arial" w:cs="Arial"/>
          <w:sz w:val="20"/>
          <w:szCs w:val="20"/>
        </w:rPr>
        <w:t xml:space="preserve">.  </w:t>
      </w:r>
    </w:p>
    <w:p w:rsidR="00CD3F82" w:rsidRPr="00462C6A" w:rsidRDefault="00CD3F82" w:rsidP="00462C6A">
      <w:pPr>
        <w:pStyle w:val="AHPRASubhead"/>
        <w:spacing w:before="200"/>
        <w:rPr>
          <w:rFonts w:cs="Arial"/>
          <w:bCs/>
        </w:rPr>
      </w:pPr>
      <w:r w:rsidRPr="00462C6A">
        <w:rPr>
          <w:rFonts w:cs="Arial"/>
          <w:bCs/>
        </w:rPr>
        <w:t>Keeping in touch with the Board</w:t>
      </w:r>
    </w:p>
    <w:p w:rsidR="00CD3F82" w:rsidRDefault="00CD3F82" w:rsidP="00462C6A">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4"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E47C83">
      <w:pPr>
        <w:rPr>
          <w:rFonts w:ascii="Arial" w:hAnsi="Arial" w:cs="Arial"/>
          <w:sz w:val="20"/>
          <w:szCs w:val="20"/>
          <w:lang w:val="en-US"/>
        </w:rPr>
      </w:pPr>
      <w:r>
        <w:rPr>
          <w:rFonts w:ascii="Arial" w:hAnsi="Arial" w:cs="Arial"/>
          <w:sz w:val="20"/>
          <w:szCs w:val="20"/>
          <w:lang w:val="en-US"/>
        </w:rPr>
        <w:t>1 July</w:t>
      </w:r>
      <w:r w:rsidR="000E7D7D">
        <w:rPr>
          <w:rFonts w:ascii="Arial" w:hAnsi="Arial" w:cs="Arial"/>
          <w:sz w:val="20"/>
          <w:szCs w:val="20"/>
          <w:lang w:val="en-US"/>
        </w:rPr>
        <w:t xml:space="preserve"> </w:t>
      </w:r>
      <w:r w:rsidR="00CD3F82">
        <w:rPr>
          <w:rFonts w:ascii="Arial" w:hAnsi="Arial" w:cs="Arial"/>
          <w:sz w:val="20"/>
          <w:szCs w:val="20"/>
          <w:lang w:val="en-US"/>
        </w:rPr>
        <w:t>2014</w:t>
      </w:r>
    </w:p>
    <w:sectPr w:rsidR="00511B15" w:rsidSect="00774EC4">
      <w:headerReference w:type="default" r:id="rId15"/>
      <w:footerReference w:type="default" r:id="rId16"/>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A4" w:rsidRDefault="00B10CA4" w:rsidP="00C13778">
      <w:r>
        <w:separator/>
      </w:r>
    </w:p>
  </w:endnote>
  <w:endnote w:type="continuationSeparator" w:id="0">
    <w:p w:rsidR="00B10CA4" w:rsidRDefault="00B10CA4"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6" w:rsidRPr="000113E5" w:rsidRDefault="005031E6" w:rsidP="00C13778">
    <w:pPr>
      <w:pStyle w:val="Footer"/>
      <w:jc w:val="right"/>
      <w:rPr>
        <w:sz w:val="20"/>
        <w:szCs w:val="20"/>
      </w:rPr>
    </w:pPr>
    <w:r w:rsidRPr="000113E5">
      <w:rPr>
        <w:sz w:val="20"/>
        <w:szCs w:val="20"/>
      </w:rPr>
      <w:t xml:space="preserve">Page </w:t>
    </w:r>
    <w:r w:rsidR="00E76294" w:rsidRPr="000113E5">
      <w:rPr>
        <w:sz w:val="20"/>
        <w:szCs w:val="20"/>
      </w:rPr>
      <w:fldChar w:fldCharType="begin"/>
    </w:r>
    <w:r w:rsidRPr="000113E5">
      <w:rPr>
        <w:sz w:val="20"/>
        <w:szCs w:val="20"/>
      </w:rPr>
      <w:instrText xml:space="preserve"> PAGE </w:instrText>
    </w:r>
    <w:r w:rsidR="00E76294" w:rsidRPr="000113E5">
      <w:rPr>
        <w:sz w:val="20"/>
        <w:szCs w:val="20"/>
      </w:rPr>
      <w:fldChar w:fldCharType="separate"/>
    </w:r>
    <w:r w:rsidR="001D7384">
      <w:rPr>
        <w:noProof/>
        <w:sz w:val="20"/>
        <w:szCs w:val="20"/>
      </w:rPr>
      <w:t>2</w:t>
    </w:r>
    <w:r w:rsidR="00E76294" w:rsidRPr="000113E5">
      <w:rPr>
        <w:sz w:val="20"/>
        <w:szCs w:val="20"/>
      </w:rPr>
      <w:fldChar w:fldCharType="end"/>
    </w:r>
    <w:r w:rsidRPr="000113E5">
      <w:rPr>
        <w:sz w:val="20"/>
        <w:szCs w:val="20"/>
      </w:rPr>
      <w:t xml:space="preserve"> of </w:t>
    </w:r>
    <w:r w:rsidR="00E76294" w:rsidRPr="000113E5">
      <w:rPr>
        <w:sz w:val="20"/>
        <w:szCs w:val="20"/>
      </w:rPr>
      <w:fldChar w:fldCharType="begin"/>
    </w:r>
    <w:r w:rsidRPr="000113E5">
      <w:rPr>
        <w:sz w:val="20"/>
        <w:szCs w:val="20"/>
      </w:rPr>
      <w:instrText xml:space="preserve"> NUMPAGES </w:instrText>
    </w:r>
    <w:r w:rsidR="00E76294" w:rsidRPr="000113E5">
      <w:rPr>
        <w:sz w:val="20"/>
        <w:szCs w:val="20"/>
      </w:rPr>
      <w:fldChar w:fldCharType="separate"/>
    </w:r>
    <w:r w:rsidR="001D7384">
      <w:rPr>
        <w:noProof/>
        <w:sz w:val="20"/>
        <w:szCs w:val="20"/>
      </w:rPr>
      <w:t>2</w:t>
    </w:r>
    <w:r w:rsidR="00E76294"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A4" w:rsidRDefault="00B10CA4" w:rsidP="00C13778">
      <w:r>
        <w:separator/>
      </w:r>
    </w:p>
  </w:footnote>
  <w:footnote w:type="continuationSeparator" w:id="0">
    <w:p w:rsidR="00B10CA4" w:rsidRDefault="00B10CA4"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6" w:rsidRDefault="005031E6"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3">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5">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6">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8">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7"/>
  </w:num>
  <w:num w:numId="2">
    <w:abstractNumId w:val="2"/>
  </w:num>
  <w:num w:numId="3">
    <w:abstractNumId w:val="12"/>
  </w:num>
  <w:num w:numId="4">
    <w:abstractNumId w:val="0"/>
  </w:num>
  <w:num w:numId="5">
    <w:abstractNumId w:val="26"/>
  </w:num>
  <w:num w:numId="6">
    <w:abstractNumId w:val="22"/>
  </w:num>
  <w:num w:numId="7">
    <w:abstractNumId w:val="11"/>
  </w:num>
  <w:num w:numId="8">
    <w:abstractNumId w:val="24"/>
  </w:num>
  <w:num w:numId="9">
    <w:abstractNumId w:val="13"/>
  </w:num>
  <w:num w:numId="10">
    <w:abstractNumId w:val="10"/>
  </w:num>
  <w:num w:numId="11">
    <w:abstractNumId w:val="20"/>
  </w:num>
  <w:num w:numId="12">
    <w:abstractNumId w:val="9"/>
  </w:num>
  <w:num w:numId="13">
    <w:abstractNumId w:val="3"/>
  </w:num>
  <w:num w:numId="14">
    <w:abstractNumId w:val="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23"/>
  </w:num>
  <w:num w:numId="20">
    <w:abstractNumId w:val="6"/>
  </w:num>
  <w:num w:numId="21">
    <w:abstractNumId w:val="19"/>
  </w:num>
  <w:num w:numId="22">
    <w:abstractNumId w:val="17"/>
  </w:num>
  <w:num w:numId="23">
    <w:abstractNumId w:val="7"/>
  </w:num>
  <w:num w:numId="24">
    <w:abstractNumId w:val="5"/>
  </w:num>
  <w:num w:numId="25">
    <w:abstractNumId w:val="18"/>
  </w:num>
  <w:num w:numId="26">
    <w:abstractNumId w:val="2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690A"/>
    <w:rsid w:val="00027753"/>
    <w:rsid w:val="00030632"/>
    <w:rsid w:val="000317EA"/>
    <w:rsid w:val="00033C72"/>
    <w:rsid w:val="00042050"/>
    <w:rsid w:val="00047CB3"/>
    <w:rsid w:val="00055D3D"/>
    <w:rsid w:val="00066DAE"/>
    <w:rsid w:val="0007755D"/>
    <w:rsid w:val="00083145"/>
    <w:rsid w:val="0008489C"/>
    <w:rsid w:val="00085AD4"/>
    <w:rsid w:val="000903D0"/>
    <w:rsid w:val="00093C6D"/>
    <w:rsid w:val="000A24FF"/>
    <w:rsid w:val="000B47B8"/>
    <w:rsid w:val="000C0F7B"/>
    <w:rsid w:val="000C2503"/>
    <w:rsid w:val="000C3328"/>
    <w:rsid w:val="000C387F"/>
    <w:rsid w:val="000C4340"/>
    <w:rsid w:val="000D55C4"/>
    <w:rsid w:val="000D7ECF"/>
    <w:rsid w:val="000E724C"/>
    <w:rsid w:val="000E7D7D"/>
    <w:rsid w:val="000F0898"/>
    <w:rsid w:val="000F1079"/>
    <w:rsid w:val="000F5270"/>
    <w:rsid w:val="000F64C3"/>
    <w:rsid w:val="000F69F1"/>
    <w:rsid w:val="001014E2"/>
    <w:rsid w:val="001026C1"/>
    <w:rsid w:val="00107D93"/>
    <w:rsid w:val="00130835"/>
    <w:rsid w:val="00134BF9"/>
    <w:rsid w:val="00136673"/>
    <w:rsid w:val="0013761E"/>
    <w:rsid w:val="001439E9"/>
    <w:rsid w:val="00144617"/>
    <w:rsid w:val="0014571D"/>
    <w:rsid w:val="001526C9"/>
    <w:rsid w:val="00170908"/>
    <w:rsid w:val="00170ADE"/>
    <w:rsid w:val="00171227"/>
    <w:rsid w:val="0018280C"/>
    <w:rsid w:val="00185362"/>
    <w:rsid w:val="001A3CC3"/>
    <w:rsid w:val="001B6A11"/>
    <w:rsid w:val="001C7F07"/>
    <w:rsid w:val="001D07BE"/>
    <w:rsid w:val="001D5973"/>
    <w:rsid w:val="001D7384"/>
    <w:rsid w:val="001E0540"/>
    <w:rsid w:val="001E238B"/>
    <w:rsid w:val="001E5346"/>
    <w:rsid w:val="00202C3C"/>
    <w:rsid w:val="00214F42"/>
    <w:rsid w:val="00217AD3"/>
    <w:rsid w:val="00220D8C"/>
    <w:rsid w:val="002230D0"/>
    <w:rsid w:val="00224D63"/>
    <w:rsid w:val="002266AE"/>
    <w:rsid w:val="0023399E"/>
    <w:rsid w:val="00234514"/>
    <w:rsid w:val="00237AE8"/>
    <w:rsid w:val="00241148"/>
    <w:rsid w:val="00244AD2"/>
    <w:rsid w:val="00244CFD"/>
    <w:rsid w:val="00250506"/>
    <w:rsid w:val="00260415"/>
    <w:rsid w:val="00262429"/>
    <w:rsid w:val="00267CD2"/>
    <w:rsid w:val="00280AA0"/>
    <w:rsid w:val="002A2F92"/>
    <w:rsid w:val="002A383E"/>
    <w:rsid w:val="002B5E92"/>
    <w:rsid w:val="002B6617"/>
    <w:rsid w:val="002B7DF7"/>
    <w:rsid w:val="002C0B74"/>
    <w:rsid w:val="002C2E66"/>
    <w:rsid w:val="002D2DCA"/>
    <w:rsid w:val="002E1F44"/>
    <w:rsid w:val="002E45AE"/>
    <w:rsid w:val="002F12EC"/>
    <w:rsid w:val="002F190C"/>
    <w:rsid w:val="002F3218"/>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96773"/>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6C73"/>
    <w:rsid w:val="004A0939"/>
    <w:rsid w:val="004A1437"/>
    <w:rsid w:val="004A3DD6"/>
    <w:rsid w:val="004A5D36"/>
    <w:rsid w:val="004B0485"/>
    <w:rsid w:val="004B4609"/>
    <w:rsid w:val="004C2060"/>
    <w:rsid w:val="004D2A88"/>
    <w:rsid w:val="004D35DA"/>
    <w:rsid w:val="004D7F29"/>
    <w:rsid w:val="004E31E6"/>
    <w:rsid w:val="004E4A77"/>
    <w:rsid w:val="004F1315"/>
    <w:rsid w:val="004F2301"/>
    <w:rsid w:val="004F61CB"/>
    <w:rsid w:val="004F6416"/>
    <w:rsid w:val="005031E6"/>
    <w:rsid w:val="00505DB2"/>
    <w:rsid w:val="0051043F"/>
    <w:rsid w:val="00511B15"/>
    <w:rsid w:val="00526184"/>
    <w:rsid w:val="005306D0"/>
    <w:rsid w:val="00530F2F"/>
    <w:rsid w:val="00544C5B"/>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6F26C0"/>
    <w:rsid w:val="0070004D"/>
    <w:rsid w:val="007147B1"/>
    <w:rsid w:val="00716544"/>
    <w:rsid w:val="00716B9F"/>
    <w:rsid w:val="00716BCE"/>
    <w:rsid w:val="00721691"/>
    <w:rsid w:val="00721D78"/>
    <w:rsid w:val="00721FE7"/>
    <w:rsid w:val="00733CC4"/>
    <w:rsid w:val="0073625D"/>
    <w:rsid w:val="0073782C"/>
    <w:rsid w:val="007452F7"/>
    <w:rsid w:val="00751989"/>
    <w:rsid w:val="0075280A"/>
    <w:rsid w:val="007567E1"/>
    <w:rsid w:val="0076120D"/>
    <w:rsid w:val="00762A80"/>
    <w:rsid w:val="00764E7A"/>
    <w:rsid w:val="00764F95"/>
    <w:rsid w:val="00771118"/>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07FF1"/>
    <w:rsid w:val="009106F1"/>
    <w:rsid w:val="009107CE"/>
    <w:rsid w:val="00914176"/>
    <w:rsid w:val="00924C1B"/>
    <w:rsid w:val="00936503"/>
    <w:rsid w:val="009452DF"/>
    <w:rsid w:val="00950BC8"/>
    <w:rsid w:val="00952484"/>
    <w:rsid w:val="00955412"/>
    <w:rsid w:val="00957672"/>
    <w:rsid w:val="00957CBA"/>
    <w:rsid w:val="00957D16"/>
    <w:rsid w:val="009604A7"/>
    <w:rsid w:val="009606BD"/>
    <w:rsid w:val="0096344E"/>
    <w:rsid w:val="00965CFE"/>
    <w:rsid w:val="00967048"/>
    <w:rsid w:val="009678F0"/>
    <w:rsid w:val="00970531"/>
    <w:rsid w:val="009778C6"/>
    <w:rsid w:val="00984DE5"/>
    <w:rsid w:val="009939F8"/>
    <w:rsid w:val="009A53F0"/>
    <w:rsid w:val="009A7A36"/>
    <w:rsid w:val="009A7FB1"/>
    <w:rsid w:val="009B5C82"/>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37FEA"/>
    <w:rsid w:val="00A43B64"/>
    <w:rsid w:val="00A64200"/>
    <w:rsid w:val="00A643D8"/>
    <w:rsid w:val="00A647E8"/>
    <w:rsid w:val="00A718B7"/>
    <w:rsid w:val="00A76884"/>
    <w:rsid w:val="00A812AD"/>
    <w:rsid w:val="00A917A3"/>
    <w:rsid w:val="00A91AF0"/>
    <w:rsid w:val="00A93E7D"/>
    <w:rsid w:val="00AB2ABD"/>
    <w:rsid w:val="00AB4BD6"/>
    <w:rsid w:val="00AC1B2C"/>
    <w:rsid w:val="00AC247D"/>
    <w:rsid w:val="00AC6073"/>
    <w:rsid w:val="00AC756F"/>
    <w:rsid w:val="00AD4161"/>
    <w:rsid w:val="00AE237D"/>
    <w:rsid w:val="00AE3276"/>
    <w:rsid w:val="00AE3701"/>
    <w:rsid w:val="00AE47C6"/>
    <w:rsid w:val="00AE7F6C"/>
    <w:rsid w:val="00B02372"/>
    <w:rsid w:val="00B03537"/>
    <w:rsid w:val="00B10CA4"/>
    <w:rsid w:val="00B1330C"/>
    <w:rsid w:val="00B16592"/>
    <w:rsid w:val="00B205C1"/>
    <w:rsid w:val="00B20C0E"/>
    <w:rsid w:val="00B25994"/>
    <w:rsid w:val="00B317EA"/>
    <w:rsid w:val="00B33129"/>
    <w:rsid w:val="00B4255E"/>
    <w:rsid w:val="00B46F2D"/>
    <w:rsid w:val="00B600A1"/>
    <w:rsid w:val="00B74650"/>
    <w:rsid w:val="00B75906"/>
    <w:rsid w:val="00B8730D"/>
    <w:rsid w:val="00B91DCB"/>
    <w:rsid w:val="00BA74CF"/>
    <w:rsid w:val="00BA7E08"/>
    <w:rsid w:val="00BB1869"/>
    <w:rsid w:val="00BB2DC8"/>
    <w:rsid w:val="00BB47E1"/>
    <w:rsid w:val="00BB5A8D"/>
    <w:rsid w:val="00BC3B3F"/>
    <w:rsid w:val="00BC5BFD"/>
    <w:rsid w:val="00BD2C6B"/>
    <w:rsid w:val="00BE439F"/>
    <w:rsid w:val="00BE4C8B"/>
    <w:rsid w:val="00BE68BB"/>
    <w:rsid w:val="00BF002B"/>
    <w:rsid w:val="00BF1941"/>
    <w:rsid w:val="00BF4F90"/>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E0D9C"/>
    <w:rsid w:val="00CE3110"/>
    <w:rsid w:val="00CF17C3"/>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410"/>
    <w:rsid w:val="00E17DAC"/>
    <w:rsid w:val="00E3415C"/>
    <w:rsid w:val="00E365E4"/>
    <w:rsid w:val="00E373F3"/>
    <w:rsid w:val="00E42608"/>
    <w:rsid w:val="00E43C9A"/>
    <w:rsid w:val="00E47C83"/>
    <w:rsid w:val="00E505D9"/>
    <w:rsid w:val="00E51430"/>
    <w:rsid w:val="00E61FEA"/>
    <w:rsid w:val="00E6406B"/>
    <w:rsid w:val="00E7302D"/>
    <w:rsid w:val="00E76294"/>
    <w:rsid w:val="00E834C2"/>
    <w:rsid w:val="00E87EB7"/>
    <w:rsid w:val="00E92828"/>
    <w:rsid w:val="00E92F16"/>
    <w:rsid w:val="00E978DE"/>
    <w:rsid w:val="00EA408F"/>
    <w:rsid w:val="00EB02FC"/>
    <w:rsid w:val="00EB0941"/>
    <w:rsid w:val="00EB7F7D"/>
    <w:rsid w:val="00ED3095"/>
    <w:rsid w:val="00EE737E"/>
    <w:rsid w:val="00EE7B65"/>
    <w:rsid w:val="00EF0E1C"/>
    <w:rsid w:val="00F02044"/>
    <w:rsid w:val="00F05B7F"/>
    <w:rsid w:val="00F06878"/>
    <w:rsid w:val="00F074C0"/>
    <w:rsid w:val="00F07F8A"/>
    <w:rsid w:val="00F1073F"/>
    <w:rsid w:val="00F120D5"/>
    <w:rsid w:val="00F1390E"/>
    <w:rsid w:val="00F1411E"/>
    <w:rsid w:val="00F156E8"/>
    <w:rsid w:val="00F21863"/>
    <w:rsid w:val="00F21CEA"/>
    <w:rsid w:val="00F231FF"/>
    <w:rsid w:val="00F26CDC"/>
    <w:rsid w:val="00F32EE9"/>
    <w:rsid w:val="00F35700"/>
    <w:rsid w:val="00F36E71"/>
    <w:rsid w:val="00F534F6"/>
    <w:rsid w:val="00F57891"/>
    <w:rsid w:val="00F60850"/>
    <w:rsid w:val="00F653A7"/>
    <w:rsid w:val="00F70C73"/>
    <w:rsid w:val="00F9229C"/>
    <w:rsid w:val="00FA3CAE"/>
    <w:rsid w:val="00FA4D61"/>
    <w:rsid w:val="00FA5291"/>
    <w:rsid w:val="00FB111C"/>
    <w:rsid w:val="00FB2A1F"/>
    <w:rsid w:val="00FC2543"/>
    <w:rsid w:val="00FD19AE"/>
    <w:rsid w:val="00FD2C9B"/>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link w:val="AHPRASubheadingChar"/>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 w:type="paragraph" w:customStyle="1" w:styleId="AHPRASubheadinglevel3">
    <w:name w:val="AHPRA Subheading level 3"/>
    <w:basedOn w:val="AHPRASubheading"/>
    <w:next w:val="Normal"/>
    <w:qFormat/>
    <w:rsid w:val="00F60850"/>
    <w:rPr>
      <w:b w:val="0"/>
    </w:rPr>
  </w:style>
  <w:style w:type="paragraph" w:customStyle="1" w:styleId="AHPRABulletlevel1last">
    <w:name w:val="AHPRA Bullet level 1 last"/>
    <w:basedOn w:val="AHPRABulletlevel1"/>
    <w:next w:val="Normal"/>
    <w:rsid w:val="00F60850"/>
    <w:pPr>
      <w:numPr>
        <w:numId w:val="2"/>
      </w:numPr>
      <w:spacing w:after="200"/>
      <w:ind w:left="369" w:hanging="369"/>
    </w:pPr>
  </w:style>
  <w:style w:type="character" w:customStyle="1" w:styleId="AHPRASubheadingChar">
    <w:name w:val="AHPRA Subheading Char"/>
    <w:link w:val="AHPRASubheading"/>
    <w:rsid w:val="00F60850"/>
    <w:rPr>
      <w:rFonts w:ascii="Arial" w:eastAsia="Cambria" w:hAnsi="Arial"/>
      <w:b/>
      <w:color w:val="007DC3"/>
      <w:szCs w:val="24"/>
    </w:rPr>
  </w:style>
</w:styles>
</file>

<file path=word/webSettings.xml><?xml version="1.0" encoding="utf-8"?>
<w:webSettings xmlns:r="http://schemas.openxmlformats.org/officeDocument/2006/relationships" xmlns:w="http://schemas.openxmlformats.org/wordprocessingml/2006/main">
  <w:divs>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About-AHPRA/What-We-Do/Data-access-and-re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o.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News/Past-Consultation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teoboardconsultation@ahpra.gov.au" TargetMode="External"/><Relationship Id="rId4" Type="http://schemas.openxmlformats.org/officeDocument/2006/relationships/settings" Target="settings.xml"/><Relationship Id="rId9" Type="http://schemas.openxmlformats.org/officeDocument/2006/relationships/hyperlink" Target="http://www.osteopathyboard.gov.au/News/Current-Consultations.aspx" TargetMode="External"/><Relationship Id="rId14" Type="http://schemas.openxmlformats.org/officeDocument/2006/relationships/hyperlink" Target="http://www.osteopathy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A6B1B-AC21-4A42-9C1B-0DC6E3BA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4320</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- 26 June 2014</dc:title>
  <dc:subject>Communique</dc:subject>
  <dc:creator>Osteopathy Board</dc:creator>
  <cp:keywords>26 June 2014</cp:keywords>
  <cp:lastModifiedBy>Tara Johnson</cp:lastModifiedBy>
  <cp:revision>2</cp:revision>
  <cp:lastPrinted>2014-05-02T01:52:00Z</cp:lastPrinted>
  <dcterms:created xsi:type="dcterms:W3CDTF">2014-06-30T23:03:00Z</dcterms:created>
  <dcterms:modified xsi:type="dcterms:W3CDTF">2014-06-30T23:03:00Z</dcterms:modified>
</cp:coreProperties>
</file>