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Osteopath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0E7D7D" w:rsidP="00CD3F82">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27 February</w:t>
      </w:r>
      <w:r w:rsidR="00CD3F82">
        <w:rPr>
          <w:rFonts w:ascii="Arial" w:hAnsi="Arial" w:cs="Arial"/>
          <w:color w:val="7F7F7F" w:themeColor="text1" w:themeTint="80"/>
          <w:sz w:val="28"/>
          <w:szCs w:val="28"/>
        </w:rPr>
        <w:t xml:space="preserve"> 2014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CD3F82" w:rsidRDefault="00CD3F82" w:rsidP="00CD3F82">
      <w:pPr>
        <w:pStyle w:val="AHPRAbody"/>
        <w:rPr>
          <w:lang w:val="en-GB"/>
        </w:rPr>
      </w:pPr>
      <w:r>
        <w:rPr>
          <w:rFonts w:cs="Arial"/>
          <w:color w:val="000000"/>
          <w:szCs w:val="20"/>
        </w:rPr>
        <w:t>The 5</w:t>
      </w:r>
      <w:r w:rsidR="001E238B">
        <w:rPr>
          <w:rFonts w:cs="Arial"/>
          <w:color w:val="000000"/>
          <w:szCs w:val="20"/>
        </w:rPr>
        <w:t>4</w:t>
      </w:r>
      <w:r w:rsidR="000E7D7D" w:rsidRPr="000E7D7D">
        <w:rPr>
          <w:rFonts w:cs="Arial"/>
          <w:color w:val="000000"/>
          <w:szCs w:val="20"/>
          <w:vertAlign w:val="superscript"/>
        </w:rPr>
        <w:t>th</w:t>
      </w:r>
      <w:r>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0E7D7D">
        <w:rPr>
          <w:lang w:val="en-GB"/>
        </w:rPr>
        <w:t>27 February 2014 in Melbourne</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0E7D7D" w:rsidRPr="0018280C" w:rsidRDefault="000E7D7D" w:rsidP="0018280C">
      <w:pPr>
        <w:pStyle w:val="AHPRASubhead"/>
      </w:pPr>
      <w:r w:rsidRPr="0018280C">
        <w:t>Expression of interest process for appointment as member of a panel</w:t>
      </w:r>
    </w:p>
    <w:p w:rsidR="000E7D7D" w:rsidRDefault="000E7D7D" w:rsidP="000E7D7D">
      <w:pPr>
        <w:pStyle w:val="AHPRAbody"/>
        <w:rPr>
          <w:szCs w:val="20"/>
        </w:rPr>
      </w:pPr>
      <w:r>
        <w:rPr>
          <w:szCs w:val="20"/>
          <w:lang w:eastAsia="en-AU"/>
        </w:rPr>
        <w:t xml:space="preserve">The Australian Health Practitioner Regulation Agency (AHPRA) on behalf of the Board is calling for expressions of interest </w:t>
      </w:r>
      <w:r>
        <w:rPr>
          <w:szCs w:val="20"/>
        </w:rPr>
        <w:t xml:space="preserve">from experienced </w:t>
      </w:r>
      <w:proofErr w:type="spellStart"/>
      <w:r>
        <w:rPr>
          <w:szCs w:val="20"/>
        </w:rPr>
        <w:t>practising</w:t>
      </w:r>
      <w:proofErr w:type="spellEnd"/>
      <w:r>
        <w:rPr>
          <w:szCs w:val="20"/>
        </w:rPr>
        <w:t xml:space="preserve"> osteopaths interested in being included on a List of Approved Persons for appointment to panels.</w:t>
      </w:r>
    </w:p>
    <w:p w:rsidR="000E7D7D" w:rsidRDefault="000E7D7D" w:rsidP="000E7D7D">
      <w:pPr>
        <w:pStyle w:val="AHPRAbody"/>
        <w:rPr>
          <w:szCs w:val="20"/>
          <w:lang w:eastAsia="en-AU"/>
        </w:rPr>
      </w:pPr>
      <w:r>
        <w:rPr>
          <w:szCs w:val="20"/>
          <w:lang w:eastAsia="en-AU"/>
        </w:rPr>
        <w:t>Under the National Law</w:t>
      </w:r>
      <w:r>
        <w:rPr>
          <w:rStyle w:val="FootnoteReference"/>
          <w:szCs w:val="20"/>
          <w:lang w:eastAsia="en-AU"/>
        </w:rPr>
        <w:footnoteReference w:id="1"/>
      </w:r>
      <w:r>
        <w:rPr>
          <w:szCs w:val="20"/>
          <w:lang w:eastAsia="en-AU"/>
        </w:rPr>
        <w:t xml:space="preserve">, a National Board convenes health panels and performance and professional standards panels when required to hold hearings into specific health, performance or conduct matters for individual registered health professionals.  Such panels consist of members chosen from a National Board </w:t>
      </w:r>
      <w:r w:rsidR="007B4491">
        <w:rPr>
          <w:szCs w:val="20"/>
          <w:lang w:eastAsia="en-AU"/>
        </w:rPr>
        <w:t>l</w:t>
      </w:r>
      <w:r>
        <w:rPr>
          <w:szCs w:val="20"/>
          <w:lang w:eastAsia="en-AU"/>
        </w:rPr>
        <w:t xml:space="preserve">ist of persons </w:t>
      </w:r>
      <w:r w:rsidR="007B4491">
        <w:rPr>
          <w:szCs w:val="20"/>
          <w:lang w:eastAsia="en-AU"/>
        </w:rPr>
        <w:t xml:space="preserve">that are approved </w:t>
      </w:r>
      <w:r>
        <w:rPr>
          <w:szCs w:val="20"/>
          <w:lang w:eastAsia="en-AU"/>
        </w:rPr>
        <w:t>for appointment to panels.</w:t>
      </w:r>
    </w:p>
    <w:p w:rsidR="000E7D7D" w:rsidRPr="00114BE6" w:rsidRDefault="000E7D7D" w:rsidP="000E7D7D">
      <w:pPr>
        <w:pStyle w:val="AHPRAbody"/>
        <w:rPr>
          <w:szCs w:val="20"/>
          <w:lang w:eastAsia="en-AU"/>
        </w:rPr>
      </w:pPr>
      <w:r>
        <w:rPr>
          <w:szCs w:val="20"/>
          <w:lang w:eastAsia="en-AU"/>
        </w:rPr>
        <w:t>Further information regarding the expression of interest process is published on the AHPRA</w:t>
      </w:r>
      <w:r>
        <w:t xml:space="preserve"> </w:t>
      </w:r>
      <w:hyperlink r:id="rId9" w:history="1">
        <w:r w:rsidRPr="000E7D7D">
          <w:rPr>
            <w:rStyle w:val="Hyperlink"/>
          </w:rPr>
          <w:t>website</w:t>
        </w:r>
      </w:hyperlink>
      <w:r>
        <w:rPr>
          <w:szCs w:val="20"/>
          <w:lang w:eastAsia="en-AU"/>
        </w:rPr>
        <w:t xml:space="preserve"> and applications close on </w:t>
      </w:r>
      <w:r w:rsidRPr="0018280C">
        <w:rPr>
          <w:b/>
          <w:szCs w:val="20"/>
          <w:lang w:eastAsia="en-AU"/>
        </w:rPr>
        <w:t>21 March 2014</w:t>
      </w:r>
      <w:r>
        <w:rPr>
          <w:szCs w:val="20"/>
          <w:lang w:eastAsia="en-AU"/>
        </w:rPr>
        <w:t>.</w:t>
      </w:r>
    </w:p>
    <w:p w:rsidR="0018280C" w:rsidRDefault="0018280C" w:rsidP="0018280C">
      <w:pPr>
        <w:pStyle w:val="AHPRASubheading"/>
        <w:tabs>
          <w:tab w:val="left" w:pos="5108"/>
        </w:tabs>
        <w:spacing w:before="240"/>
      </w:pPr>
      <w:r>
        <w:t>Newsletter</w:t>
      </w:r>
    </w:p>
    <w:p w:rsidR="0018280C" w:rsidRDefault="0018280C" w:rsidP="0018280C">
      <w:pPr>
        <w:pStyle w:val="AHPRABulletlevel1"/>
        <w:numPr>
          <w:ilvl w:val="0"/>
          <w:numId w:val="0"/>
        </w:numPr>
        <w:spacing w:after="200"/>
        <w:rPr>
          <w:rFonts w:cs="Arial"/>
          <w:szCs w:val="20"/>
        </w:rPr>
      </w:pPr>
      <w:r>
        <w:rPr>
          <w:rFonts w:cs="Arial"/>
          <w:color w:val="000000"/>
          <w:szCs w:val="20"/>
        </w:rPr>
        <w:t xml:space="preserve">The Board has released its latest edition of the electronic newsletter: </w:t>
      </w:r>
      <w:r>
        <w:rPr>
          <w:rFonts w:cs="Arial"/>
          <w:i/>
          <w:color w:val="000000"/>
          <w:szCs w:val="20"/>
        </w:rPr>
        <w:t xml:space="preserve">Registrant </w:t>
      </w:r>
      <w:r w:rsidR="007B4491">
        <w:rPr>
          <w:rFonts w:cs="Arial"/>
          <w:i/>
          <w:color w:val="000000"/>
          <w:szCs w:val="20"/>
        </w:rPr>
        <w:t>u</w:t>
      </w:r>
      <w:r>
        <w:rPr>
          <w:rFonts w:cs="Arial"/>
          <w:i/>
          <w:color w:val="000000"/>
          <w:szCs w:val="20"/>
        </w:rPr>
        <w:t>pdate</w:t>
      </w:r>
      <w:r>
        <w:rPr>
          <w:rFonts w:cs="Arial"/>
          <w:color w:val="000000"/>
          <w:szCs w:val="20"/>
        </w:rPr>
        <w:t xml:space="preserve">. The newsletter is sent by email to registered osteopaths. It is also published on the Board’s </w:t>
      </w:r>
      <w:hyperlink r:id="rId10" w:history="1">
        <w:r>
          <w:rPr>
            <w:rStyle w:val="Hyperlink"/>
            <w:rFonts w:cs="Arial"/>
            <w:szCs w:val="20"/>
          </w:rPr>
          <w:t>website</w:t>
        </w:r>
      </w:hyperlink>
      <w:r>
        <w:t>.</w:t>
      </w:r>
    </w:p>
    <w:p w:rsidR="00880CD8" w:rsidRDefault="005719B2" w:rsidP="00CD3F82">
      <w:pPr>
        <w:pStyle w:val="AHPRASubheading"/>
      </w:pPr>
      <w:r>
        <w:t>New professional standards for practitioners</w:t>
      </w:r>
    </w:p>
    <w:p w:rsidR="005719B2" w:rsidRPr="00A917A3" w:rsidRDefault="0018280C" w:rsidP="005719B2">
      <w:pPr>
        <w:rPr>
          <w:rFonts w:ascii="Arial" w:hAnsi="Arial" w:cs="Arial"/>
          <w:sz w:val="20"/>
          <w:szCs w:val="20"/>
        </w:rPr>
      </w:pPr>
      <w:r>
        <w:rPr>
          <w:rFonts w:ascii="Arial" w:hAnsi="Arial" w:cs="Arial"/>
          <w:sz w:val="20"/>
          <w:szCs w:val="20"/>
        </w:rPr>
        <w:t>In February t</w:t>
      </w:r>
      <w:r w:rsidR="005719B2" w:rsidRPr="00A917A3">
        <w:rPr>
          <w:rFonts w:ascii="Arial" w:hAnsi="Arial" w:cs="Arial"/>
          <w:sz w:val="20"/>
          <w:szCs w:val="20"/>
        </w:rPr>
        <w:t xml:space="preserve">he National Board </w:t>
      </w:r>
      <w:r w:rsidR="001E238B">
        <w:rPr>
          <w:rFonts w:ascii="Arial" w:hAnsi="Arial" w:cs="Arial"/>
          <w:sz w:val="20"/>
          <w:szCs w:val="20"/>
        </w:rPr>
        <w:t>published</w:t>
      </w:r>
      <w:r w:rsidR="005719B2" w:rsidRPr="00A917A3">
        <w:rPr>
          <w:rFonts w:ascii="Arial" w:hAnsi="Arial" w:cs="Arial"/>
          <w:sz w:val="20"/>
          <w:szCs w:val="20"/>
        </w:rPr>
        <w:t xml:space="preserve"> revised and new standards, codes and guidelines </w:t>
      </w:r>
      <w:r w:rsidR="00867F46">
        <w:rPr>
          <w:rFonts w:ascii="Arial" w:hAnsi="Arial" w:cs="Arial"/>
          <w:sz w:val="20"/>
          <w:szCs w:val="20"/>
        </w:rPr>
        <w:t>which will come into effect on 17 March 2014:</w:t>
      </w:r>
    </w:p>
    <w:p w:rsidR="00867F46" w:rsidRDefault="00867F46" w:rsidP="00867F46">
      <w:pPr>
        <w:pStyle w:val="AHPRAbody"/>
        <w:numPr>
          <w:ilvl w:val="0"/>
          <w:numId w:val="27"/>
        </w:numPr>
        <w:spacing w:after="0"/>
      </w:pPr>
      <w:r>
        <w:t xml:space="preserve">revised </w:t>
      </w:r>
      <w:r>
        <w:rPr>
          <w:i/>
          <w:iCs/>
        </w:rPr>
        <w:t>Guidelines for advertising regulated health services</w:t>
      </w:r>
    </w:p>
    <w:p w:rsidR="00867F46" w:rsidRDefault="00867F46" w:rsidP="00867F46">
      <w:pPr>
        <w:pStyle w:val="AHPRAbody"/>
        <w:numPr>
          <w:ilvl w:val="0"/>
          <w:numId w:val="27"/>
        </w:numPr>
        <w:spacing w:after="0"/>
      </w:pPr>
      <w:r>
        <w:t xml:space="preserve">revised </w:t>
      </w:r>
      <w:r>
        <w:rPr>
          <w:i/>
          <w:iCs/>
        </w:rPr>
        <w:t>Guidelines for mandatory notifications</w:t>
      </w:r>
    </w:p>
    <w:p w:rsidR="00867F46" w:rsidRDefault="00867F46" w:rsidP="00867F46">
      <w:pPr>
        <w:pStyle w:val="AHPRAbody"/>
        <w:numPr>
          <w:ilvl w:val="0"/>
          <w:numId w:val="27"/>
        </w:numPr>
        <w:spacing w:after="0"/>
      </w:pPr>
      <w:r>
        <w:t>revised</w:t>
      </w:r>
      <w:r>
        <w:rPr>
          <w:i/>
          <w:iCs/>
        </w:rPr>
        <w:t xml:space="preserve"> Code of conduct</w:t>
      </w:r>
      <w:r>
        <w:t>, and  </w:t>
      </w:r>
    </w:p>
    <w:p w:rsidR="00867F46" w:rsidRDefault="00867F46" w:rsidP="00867F46">
      <w:pPr>
        <w:pStyle w:val="AHPRAbody"/>
        <w:numPr>
          <w:ilvl w:val="0"/>
          <w:numId w:val="27"/>
        </w:numPr>
        <w:spacing w:after="0"/>
      </w:pPr>
      <w:proofErr w:type="gramStart"/>
      <w:r>
        <w:t>new</w:t>
      </w:r>
      <w:proofErr w:type="gramEnd"/>
      <w:r>
        <w:t xml:space="preserve"> </w:t>
      </w:r>
      <w:r>
        <w:rPr>
          <w:i/>
          <w:iCs/>
        </w:rPr>
        <w:t>Social media policy</w:t>
      </w:r>
      <w:r>
        <w:t>.</w:t>
      </w:r>
    </w:p>
    <w:p w:rsidR="00A917A3" w:rsidRDefault="00A917A3" w:rsidP="005719B2">
      <w:pPr>
        <w:rPr>
          <w:rFonts w:ascii="Arial" w:hAnsi="Arial" w:cs="Arial"/>
          <w:sz w:val="20"/>
          <w:szCs w:val="20"/>
        </w:rPr>
      </w:pPr>
    </w:p>
    <w:p w:rsidR="00FD2C9B" w:rsidRDefault="00867F46" w:rsidP="00867F46">
      <w:pPr>
        <w:rPr>
          <w:rFonts w:ascii="Arial" w:hAnsi="Arial" w:cs="Arial"/>
          <w:sz w:val="20"/>
          <w:szCs w:val="20"/>
        </w:rPr>
      </w:pPr>
      <w:r>
        <w:rPr>
          <w:rFonts w:ascii="Arial" w:hAnsi="Arial" w:cs="Arial"/>
          <w:sz w:val="20"/>
          <w:szCs w:val="20"/>
        </w:rPr>
        <w:t xml:space="preserve">All </w:t>
      </w:r>
      <w:r w:rsidR="005719B2" w:rsidRPr="00A917A3">
        <w:rPr>
          <w:rFonts w:ascii="Arial" w:hAnsi="Arial" w:cs="Arial"/>
          <w:sz w:val="20"/>
          <w:szCs w:val="20"/>
        </w:rPr>
        <w:t>registered health practitioners will need to meet these new standards.</w:t>
      </w:r>
      <w:r>
        <w:rPr>
          <w:rFonts w:ascii="Arial" w:hAnsi="Arial" w:cs="Arial"/>
          <w:sz w:val="20"/>
          <w:szCs w:val="20"/>
        </w:rPr>
        <w:t xml:space="preserve"> The </w:t>
      </w:r>
      <w:hyperlink r:id="rId11" w:history="1">
        <w:r w:rsidRPr="00867F46">
          <w:rPr>
            <w:rStyle w:val="Hyperlink"/>
            <w:rFonts w:ascii="Arial" w:hAnsi="Arial" w:cs="Arial"/>
            <w:sz w:val="20"/>
            <w:szCs w:val="20"/>
          </w:rPr>
          <w:t>media release</w:t>
        </w:r>
      </w:hyperlink>
      <w:r>
        <w:rPr>
          <w:rFonts w:ascii="Arial" w:hAnsi="Arial" w:cs="Arial"/>
          <w:sz w:val="20"/>
          <w:szCs w:val="20"/>
        </w:rPr>
        <w:t xml:space="preserve"> on the Board’s website has links to the early versions of the new documents and fact sheets and FAQs. </w:t>
      </w:r>
      <w:r w:rsidR="00FD2C9B" w:rsidRPr="00867F46">
        <w:rPr>
          <w:rFonts w:ascii="Arial" w:hAnsi="Arial" w:cs="Arial"/>
          <w:sz w:val="20"/>
          <w:szCs w:val="20"/>
        </w:rPr>
        <w:t xml:space="preserve">The Board will </w:t>
      </w:r>
      <w:r w:rsidR="005719B2" w:rsidRPr="00867F46">
        <w:rPr>
          <w:rFonts w:ascii="Arial" w:hAnsi="Arial" w:cs="Arial"/>
          <w:sz w:val="20"/>
          <w:szCs w:val="20"/>
        </w:rPr>
        <w:t xml:space="preserve">also </w:t>
      </w:r>
      <w:r w:rsidR="00FD2C9B" w:rsidRPr="00867F46">
        <w:rPr>
          <w:rFonts w:ascii="Arial" w:hAnsi="Arial" w:cs="Arial"/>
          <w:sz w:val="20"/>
          <w:szCs w:val="20"/>
        </w:rPr>
        <w:t>focus on providing further information to osteopaths on these documents in its next</w:t>
      </w:r>
      <w:r>
        <w:rPr>
          <w:rFonts w:ascii="Arial" w:hAnsi="Arial" w:cs="Arial"/>
          <w:sz w:val="20"/>
          <w:szCs w:val="20"/>
        </w:rPr>
        <w:t xml:space="preserve"> newsletter</w:t>
      </w:r>
      <w:r w:rsidR="00FD2C9B" w:rsidRPr="00867F46">
        <w:rPr>
          <w:rFonts w:ascii="Arial" w:hAnsi="Arial" w:cs="Arial"/>
          <w:sz w:val="20"/>
          <w:szCs w:val="20"/>
        </w:rPr>
        <w:t xml:space="preserve">. </w:t>
      </w:r>
    </w:p>
    <w:p w:rsidR="00867F46" w:rsidRDefault="00867F46" w:rsidP="0018280C">
      <w:pPr>
        <w:pStyle w:val="AHPRASubheading"/>
      </w:pPr>
      <w:r>
        <w:t xml:space="preserve">Quarterly data </w:t>
      </w:r>
    </w:p>
    <w:p w:rsidR="00867F46" w:rsidRPr="007B6B11" w:rsidRDefault="00867F46" w:rsidP="00867F46">
      <w:pPr>
        <w:pStyle w:val="Default"/>
        <w:rPr>
          <w:sz w:val="20"/>
          <w:szCs w:val="20"/>
        </w:rPr>
      </w:pPr>
      <w:r>
        <w:rPr>
          <w:sz w:val="20"/>
          <w:szCs w:val="20"/>
        </w:rPr>
        <w:t>One of the benefits of the national registration and accreditation scheme is that there are now national registers where information is published publish about every registered health practitioner in Australia. It is now possible to produce accurate reports on the number of practitioners registered in each profession in Australia</w:t>
      </w:r>
      <w:r w:rsidRPr="007B6B11">
        <w:rPr>
          <w:sz w:val="20"/>
          <w:szCs w:val="20"/>
        </w:rPr>
        <w:t xml:space="preserve">. </w:t>
      </w:r>
      <w:r w:rsidRPr="007B6B11">
        <w:rPr>
          <w:color w:val="auto"/>
          <w:sz w:val="20"/>
          <w:szCs w:val="20"/>
        </w:rPr>
        <w:t xml:space="preserve">The latest quarterly report is now available on the Board’s website under ‘news’ and </w:t>
      </w:r>
      <w:hyperlink r:id="rId12" w:history="1">
        <w:r w:rsidRPr="001B6A11">
          <w:rPr>
            <w:rStyle w:val="Hyperlink"/>
            <w:rFonts w:cs="Arial"/>
            <w:sz w:val="20"/>
            <w:szCs w:val="20"/>
          </w:rPr>
          <w:t>‘statistics’</w:t>
        </w:r>
      </w:hyperlink>
      <w:r w:rsidRPr="007B6B11">
        <w:rPr>
          <w:color w:val="auto"/>
          <w:sz w:val="20"/>
          <w:szCs w:val="20"/>
        </w:rPr>
        <w:t>. All the Boards publish similar information about their health profession which is available on each Board’s website.</w:t>
      </w:r>
      <w:r w:rsidRPr="007B6B11">
        <w:rPr>
          <w:sz w:val="20"/>
          <w:szCs w:val="20"/>
        </w:rPr>
        <w:t xml:space="preserve"> </w:t>
      </w:r>
    </w:p>
    <w:p w:rsidR="00A917A3" w:rsidRPr="00A917A3" w:rsidRDefault="00A917A3" w:rsidP="00FD2C9B">
      <w:pPr>
        <w:pStyle w:val="AHPRABulletlevel1"/>
        <w:numPr>
          <w:ilvl w:val="0"/>
          <w:numId w:val="0"/>
        </w:numPr>
        <w:spacing w:after="200"/>
        <w:rPr>
          <w:rFonts w:cs="Arial"/>
        </w:rPr>
      </w:pPr>
    </w:p>
    <w:p w:rsidR="00CD3F82" w:rsidRDefault="00CD3F82" w:rsidP="00CD3F82">
      <w:pPr>
        <w:pStyle w:val="AHPRASubheading"/>
        <w:rPr>
          <w:lang w:val="en-GB"/>
        </w:rPr>
      </w:pPr>
      <w:r>
        <w:rPr>
          <w:lang w:val="en-GB"/>
        </w:rPr>
        <w:lastRenderedPageBreak/>
        <w:t>Keeping in touch with the Board</w:t>
      </w:r>
    </w:p>
    <w:p w:rsidR="00CD3F82" w:rsidRDefault="00CD3F82" w:rsidP="00CD3F82">
      <w:pPr>
        <w:pStyle w:val="Default"/>
        <w:spacing w:line="25" w:lineRule="atLeast"/>
        <w:rPr>
          <w:sz w:val="20"/>
          <w:szCs w:val="20"/>
        </w:rPr>
      </w:pPr>
      <w:r>
        <w:rPr>
          <w:sz w:val="20"/>
          <w:szCs w:val="20"/>
        </w:rPr>
        <w:t xml:space="preserve">The Board publishes a range of information about registration and the Board’s expectations of practitioners on its website at </w:t>
      </w:r>
      <w:hyperlink r:id="rId13"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CD3F82" w:rsidRDefault="00CD3F82" w:rsidP="00CD3F82">
      <w:pPr>
        <w:pStyle w:val="Default"/>
        <w:spacing w:line="25" w:lineRule="atLeast"/>
        <w:rPr>
          <w:sz w:val="20"/>
          <w:szCs w:val="20"/>
        </w:rPr>
      </w:pP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256BB9">
      <w:pPr>
        <w:rPr>
          <w:rFonts w:ascii="Arial" w:hAnsi="Arial" w:cs="Arial"/>
          <w:sz w:val="20"/>
          <w:szCs w:val="20"/>
          <w:lang w:val="en-US"/>
        </w:rPr>
      </w:pPr>
      <w:r>
        <w:rPr>
          <w:rFonts w:ascii="Arial" w:hAnsi="Arial" w:cs="Arial"/>
          <w:sz w:val="20"/>
          <w:szCs w:val="20"/>
          <w:lang w:val="en-US"/>
        </w:rPr>
        <w:t>3</w:t>
      </w:r>
      <w:r w:rsidR="000E7D7D">
        <w:rPr>
          <w:rFonts w:ascii="Arial" w:hAnsi="Arial" w:cs="Arial"/>
          <w:sz w:val="20"/>
          <w:szCs w:val="20"/>
          <w:lang w:val="en-US"/>
        </w:rPr>
        <w:t xml:space="preserve"> March </w:t>
      </w:r>
      <w:r w:rsidR="00CD3F82">
        <w:rPr>
          <w:rFonts w:ascii="Arial" w:hAnsi="Arial" w:cs="Arial"/>
          <w:sz w:val="20"/>
          <w:szCs w:val="20"/>
          <w:lang w:val="en-US"/>
        </w:rPr>
        <w:t>2014</w:t>
      </w:r>
    </w:p>
    <w:sectPr w:rsidR="00511B15" w:rsidSect="00774EC4">
      <w:headerReference w:type="default" r:id="rId14"/>
      <w:footerReference w:type="default" r:id="rId15"/>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C8" w:rsidRDefault="007151C8" w:rsidP="00C13778">
      <w:r>
        <w:separator/>
      </w:r>
    </w:p>
  </w:endnote>
  <w:endnote w:type="continuationSeparator" w:id="0">
    <w:p w:rsidR="007151C8" w:rsidRDefault="007151C8"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46" w:rsidRPr="000113E5" w:rsidRDefault="00867F46" w:rsidP="00C13778">
    <w:pPr>
      <w:pStyle w:val="Footer"/>
      <w:jc w:val="right"/>
      <w:rPr>
        <w:sz w:val="20"/>
        <w:szCs w:val="20"/>
      </w:rPr>
    </w:pPr>
    <w:r w:rsidRPr="000113E5">
      <w:rPr>
        <w:sz w:val="20"/>
        <w:szCs w:val="20"/>
      </w:rPr>
      <w:t xml:space="preserve">Page </w:t>
    </w:r>
    <w:r w:rsidR="00E46631" w:rsidRPr="000113E5">
      <w:rPr>
        <w:sz w:val="20"/>
        <w:szCs w:val="20"/>
      </w:rPr>
      <w:fldChar w:fldCharType="begin"/>
    </w:r>
    <w:r w:rsidRPr="000113E5">
      <w:rPr>
        <w:sz w:val="20"/>
        <w:szCs w:val="20"/>
      </w:rPr>
      <w:instrText xml:space="preserve"> PAGE </w:instrText>
    </w:r>
    <w:r w:rsidR="00E46631" w:rsidRPr="000113E5">
      <w:rPr>
        <w:sz w:val="20"/>
        <w:szCs w:val="20"/>
      </w:rPr>
      <w:fldChar w:fldCharType="separate"/>
    </w:r>
    <w:r w:rsidR="00B43A2E">
      <w:rPr>
        <w:noProof/>
        <w:sz w:val="20"/>
        <w:szCs w:val="20"/>
      </w:rPr>
      <w:t>2</w:t>
    </w:r>
    <w:r w:rsidR="00E46631" w:rsidRPr="000113E5">
      <w:rPr>
        <w:sz w:val="20"/>
        <w:szCs w:val="20"/>
      </w:rPr>
      <w:fldChar w:fldCharType="end"/>
    </w:r>
    <w:r w:rsidRPr="000113E5">
      <w:rPr>
        <w:sz w:val="20"/>
        <w:szCs w:val="20"/>
      </w:rPr>
      <w:t xml:space="preserve"> of </w:t>
    </w:r>
    <w:r w:rsidR="00E46631" w:rsidRPr="000113E5">
      <w:rPr>
        <w:sz w:val="20"/>
        <w:szCs w:val="20"/>
      </w:rPr>
      <w:fldChar w:fldCharType="begin"/>
    </w:r>
    <w:r w:rsidRPr="000113E5">
      <w:rPr>
        <w:sz w:val="20"/>
        <w:szCs w:val="20"/>
      </w:rPr>
      <w:instrText xml:space="preserve"> NUMPAGES </w:instrText>
    </w:r>
    <w:r w:rsidR="00E46631" w:rsidRPr="000113E5">
      <w:rPr>
        <w:sz w:val="20"/>
        <w:szCs w:val="20"/>
      </w:rPr>
      <w:fldChar w:fldCharType="separate"/>
    </w:r>
    <w:r w:rsidR="00B43A2E">
      <w:rPr>
        <w:noProof/>
        <w:sz w:val="20"/>
        <w:szCs w:val="20"/>
      </w:rPr>
      <w:t>2</w:t>
    </w:r>
    <w:r w:rsidR="00E46631"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C8" w:rsidRDefault="007151C8" w:rsidP="00C13778">
      <w:r>
        <w:separator/>
      </w:r>
    </w:p>
  </w:footnote>
  <w:footnote w:type="continuationSeparator" w:id="0">
    <w:p w:rsidR="007151C8" w:rsidRDefault="007151C8" w:rsidP="00C13778">
      <w:r>
        <w:continuationSeparator/>
      </w:r>
    </w:p>
  </w:footnote>
  <w:footnote w:id="1">
    <w:p w:rsidR="00867F46" w:rsidRPr="00F30FE9" w:rsidRDefault="00867F46" w:rsidP="000E7D7D">
      <w:pPr>
        <w:pStyle w:val="Default"/>
        <w:rPr>
          <w:sz w:val="16"/>
          <w:szCs w:val="16"/>
        </w:rPr>
      </w:pPr>
      <w:r w:rsidRPr="00F30FE9">
        <w:rPr>
          <w:rStyle w:val="FootnoteReference"/>
          <w:sz w:val="16"/>
          <w:szCs w:val="16"/>
        </w:rPr>
        <w:footnoteRef/>
      </w:r>
      <w:r w:rsidRPr="00F30FE9">
        <w:rPr>
          <w:sz w:val="16"/>
          <w:szCs w:val="16"/>
        </w:rPr>
        <w:t xml:space="preserve">  The Health Practitioner Regulation National Law, as in force in each state and territory (the National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46" w:rsidRDefault="00867F46"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0">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2">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3">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5">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4"/>
  </w:num>
  <w:num w:numId="2">
    <w:abstractNumId w:val="1"/>
  </w:num>
  <w:num w:numId="3">
    <w:abstractNumId w:val="11"/>
  </w:num>
  <w:num w:numId="4">
    <w:abstractNumId w:val="0"/>
  </w:num>
  <w:num w:numId="5">
    <w:abstractNumId w:val="23"/>
  </w:num>
  <w:num w:numId="6">
    <w:abstractNumId w:val="19"/>
  </w:num>
  <w:num w:numId="7">
    <w:abstractNumId w:val="10"/>
  </w:num>
  <w:num w:numId="8">
    <w:abstractNumId w:val="21"/>
  </w:num>
  <w:num w:numId="9">
    <w:abstractNumId w:val="12"/>
  </w:num>
  <w:num w:numId="10">
    <w:abstractNumId w:val="9"/>
  </w:num>
  <w:num w:numId="11">
    <w:abstractNumId w:val="18"/>
  </w:num>
  <w:num w:numId="12">
    <w:abstractNumId w:val="8"/>
  </w:num>
  <w:num w:numId="13">
    <w:abstractNumId w:val="2"/>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20"/>
  </w:num>
  <w:num w:numId="20">
    <w:abstractNumId w:val="5"/>
  </w:num>
  <w:num w:numId="21">
    <w:abstractNumId w:val="17"/>
  </w:num>
  <w:num w:numId="22">
    <w:abstractNumId w:val="15"/>
  </w:num>
  <w:num w:numId="23">
    <w:abstractNumId w:val="6"/>
  </w:num>
  <w:num w:numId="24">
    <w:abstractNumId w:val="4"/>
  </w:num>
  <w:num w:numId="25">
    <w:abstractNumId w:val="16"/>
  </w:num>
  <w:num w:numId="26">
    <w:abstractNumId w:val="2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6EE9"/>
    <w:rsid w:val="000177AF"/>
    <w:rsid w:val="0002690A"/>
    <w:rsid w:val="00027753"/>
    <w:rsid w:val="00030632"/>
    <w:rsid w:val="00042050"/>
    <w:rsid w:val="00047CB3"/>
    <w:rsid w:val="00055D3D"/>
    <w:rsid w:val="00066DAE"/>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E7D7D"/>
    <w:rsid w:val="000F0898"/>
    <w:rsid w:val="000F1079"/>
    <w:rsid w:val="000F5270"/>
    <w:rsid w:val="000F64C3"/>
    <w:rsid w:val="001014E2"/>
    <w:rsid w:val="001026C1"/>
    <w:rsid w:val="00107D93"/>
    <w:rsid w:val="00130835"/>
    <w:rsid w:val="00134BF9"/>
    <w:rsid w:val="00136673"/>
    <w:rsid w:val="0013761E"/>
    <w:rsid w:val="001439E9"/>
    <w:rsid w:val="00144617"/>
    <w:rsid w:val="0014571D"/>
    <w:rsid w:val="00170ADE"/>
    <w:rsid w:val="00171227"/>
    <w:rsid w:val="0018280C"/>
    <w:rsid w:val="00185362"/>
    <w:rsid w:val="001A3CC3"/>
    <w:rsid w:val="001B6A11"/>
    <w:rsid w:val="001C7F07"/>
    <w:rsid w:val="001D07BE"/>
    <w:rsid w:val="001D5973"/>
    <w:rsid w:val="001E0540"/>
    <w:rsid w:val="001E238B"/>
    <w:rsid w:val="001E5346"/>
    <w:rsid w:val="00202C3C"/>
    <w:rsid w:val="00214F42"/>
    <w:rsid w:val="00217AD3"/>
    <w:rsid w:val="00220D8C"/>
    <w:rsid w:val="002230D0"/>
    <w:rsid w:val="002266AE"/>
    <w:rsid w:val="0023399E"/>
    <w:rsid w:val="00237AE8"/>
    <w:rsid w:val="00241148"/>
    <w:rsid w:val="00244AD2"/>
    <w:rsid w:val="00244CFD"/>
    <w:rsid w:val="00250506"/>
    <w:rsid w:val="00256BB9"/>
    <w:rsid w:val="00260415"/>
    <w:rsid w:val="00262429"/>
    <w:rsid w:val="00267CD2"/>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546C2"/>
    <w:rsid w:val="003617B0"/>
    <w:rsid w:val="003712F5"/>
    <w:rsid w:val="00375A04"/>
    <w:rsid w:val="00390B79"/>
    <w:rsid w:val="00393CBB"/>
    <w:rsid w:val="00395E84"/>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4F6416"/>
    <w:rsid w:val="00505DB2"/>
    <w:rsid w:val="00511B15"/>
    <w:rsid w:val="00526184"/>
    <w:rsid w:val="005306D0"/>
    <w:rsid w:val="00530F2F"/>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D6404"/>
    <w:rsid w:val="0070004D"/>
    <w:rsid w:val="007147B1"/>
    <w:rsid w:val="007151C8"/>
    <w:rsid w:val="00716544"/>
    <w:rsid w:val="00716B9F"/>
    <w:rsid w:val="00716BCE"/>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491"/>
    <w:rsid w:val="007B49B6"/>
    <w:rsid w:val="007B6B11"/>
    <w:rsid w:val="007B7C32"/>
    <w:rsid w:val="007C2DCB"/>
    <w:rsid w:val="007C3D16"/>
    <w:rsid w:val="007C6ABC"/>
    <w:rsid w:val="007D2025"/>
    <w:rsid w:val="007D22FE"/>
    <w:rsid w:val="007D4777"/>
    <w:rsid w:val="007D493A"/>
    <w:rsid w:val="007F3017"/>
    <w:rsid w:val="007F349F"/>
    <w:rsid w:val="00805062"/>
    <w:rsid w:val="008141BF"/>
    <w:rsid w:val="00820286"/>
    <w:rsid w:val="0083000F"/>
    <w:rsid w:val="0083144E"/>
    <w:rsid w:val="008328A7"/>
    <w:rsid w:val="00835E88"/>
    <w:rsid w:val="00852DC9"/>
    <w:rsid w:val="00852E40"/>
    <w:rsid w:val="00853CFB"/>
    <w:rsid w:val="0086035A"/>
    <w:rsid w:val="008606C5"/>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106F1"/>
    <w:rsid w:val="009107CE"/>
    <w:rsid w:val="00914176"/>
    <w:rsid w:val="00924C1B"/>
    <w:rsid w:val="00936503"/>
    <w:rsid w:val="009452DF"/>
    <w:rsid w:val="00950BC8"/>
    <w:rsid w:val="00952484"/>
    <w:rsid w:val="00955412"/>
    <w:rsid w:val="00957672"/>
    <w:rsid w:val="00957CBA"/>
    <w:rsid w:val="00957D16"/>
    <w:rsid w:val="0096344E"/>
    <w:rsid w:val="00965CFE"/>
    <w:rsid w:val="00967048"/>
    <w:rsid w:val="009678F0"/>
    <w:rsid w:val="00970531"/>
    <w:rsid w:val="009778C6"/>
    <w:rsid w:val="00984DE5"/>
    <w:rsid w:val="009939F8"/>
    <w:rsid w:val="009A1FB9"/>
    <w:rsid w:val="009A53F0"/>
    <w:rsid w:val="009A7A36"/>
    <w:rsid w:val="009A7FB1"/>
    <w:rsid w:val="009B5C82"/>
    <w:rsid w:val="009D6B57"/>
    <w:rsid w:val="009E237F"/>
    <w:rsid w:val="009F0B4F"/>
    <w:rsid w:val="009F3A47"/>
    <w:rsid w:val="00A021FF"/>
    <w:rsid w:val="00A101BD"/>
    <w:rsid w:val="00A17000"/>
    <w:rsid w:val="00A21290"/>
    <w:rsid w:val="00A24FBC"/>
    <w:rsid w:val="00A25857"/>
    <w:rsid w:val="00A27FF1"/>
    <w:rsid w:val="00A329B1"/>
    <w:rsid w:val="00A3429C"/>
    <w:rsid w:val="00A64200"/>
    <w:rsid w:val="00A643D8"/>
    <w:rsid w:val="00A647E8"/>
    <w:rsid w:val="00A718B7"/>
    <w:rsid w:val="00A812AD"/>
    <w:rsid w:val="00A917A3"/>
    <w:rsid w:val="00A91AF0"/>
    <w:rsid w:val="00A93E7D"/>
    <w:rsid w:val="00AB2ABD"/>
    <w:rsid w:val="00AB4BD6"/>
    <w:rsid w:val="00AC1B2C"/>
    <w:rsid w:val="00AC247D"/>
    <w:rsid w:val="00AC756F"/>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3A2E"/>
    <w:rsid w:val="00B46F2D"/>
    <w:rsid w:val="00B600A1"/>
    <w:rsid w:val="00B75906"/>
    <w:rsid w:val="00B8730D"/>
    <w:rsid w:val="00B91DCB"/>
    <w:rsid w:val="00BA74CF"/>
    <w:rsid w:val="00BA7E08"/>
    <w:rsid w:val="00BB2DC8"/>
    <w:rsid w:val="00BB47E1"/>
    <w:rsid w:val="00BB5A8D"/>
    <w:rsid w:val="00BC3B3F"/>
    <w:rsid w:val="00BD2C6B"/>
    <w:rsid w:val="00BE439F"/>
    <w:rsid w:val="00BE4C8B"/>
    <w:rsid w:val="00BE68BB"/>
    <w:rsid w:val="00BF002B"/>
    <w:rsid w:val="00BF1941"/>
    <w:rsid w:val="00BF4F90"/>
    <w:rsid w:val="00C13778"/>
    <w:rsid w:val="00C14DCE"/>
    <w:rsid w:val="00C335EE"/>
    <w:rsid w:val="00C34F1D"/>
    <w:rsid w:val="00C4636A"/>
    <w:rsid w:val="00C51DC8"/>
    <w:rsid w:val="00C65527"/>
    <w:rsid w:val="00C655A5"/>
    <w:rsid w:val="00C72FA8"/>
    <w:rsid w:val="00C8364F"/>
    <w:rsid w:val="00C8555A"/>
    <w:rsid w:val="00C90A71"/>
    <w:rsid w:val="00CA0DB5"/>
    <w:rsid w:val="00CA2F5A"/>
    <w:rsid w:val="00CA67E3"/>
    <w:rsid w:val="00CB7280"/>
    <w:rsid w:val="00CB7F41"/>
    <w:rsid w:val="00CC54FA"/>
    <w:rsid w:val="00CC6228"/>
    <w:rsid w:val="00CC6E12"/>
    <w:rsid w:val="00CD3F82"/>
    <w:rsid w:val="00CE0D9C"/>
    <w:rsid w:val="00CE3110"/>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197"/>
    <w:rsid w:val="00E15E9D"/>
    <w:rsid w:val="00E166A6"/>
    <w:rsid w:val="00E17DAC"/>
    <w:rsid w:val="00E3415C"/>
    <w:rsid w:val="00E365E4"/>
    <w:rsid w:val="00E373F3"/>
    <w:rsid w:val="00E42608"/>
    <w:rsid w:val="00E43C9A"/>
    <w:rsid w:val="00E46631"/>
    <w:rsid w:val="00E505D9"/>
    <w:rsid w:val="00E51430"/>
    <w:rsid w:val="00E61FEA"/>
    <w:rsid w:val="00E6406B"/>
    <w:rsid w:val="00E7302D"/>
    <w:rsid w:val="00E834C2"/>
    <w:rsid w:val="00E87EB7"/>
    <w:rsid w:val="00E92F16"/>
    <w:rsid w:val="00E978DE"/>
    <w:rsid w:val="00EA408F"/>
    <w:rsid w:val="00EB02FC"/>
    <w:rsid w:val="00EB7F7D"/>
    <w:rsid w:val="00ED3095"/>
    <w:rsid w:val="00EE737E"/>
    <w:rsid w:val="00EF0E1C"/>
    <w:rsid w:val="00F02044"/>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57891"/>
    <w:rsid w:val="00F653A7"/>
    <w:rsid w:val="00F70C73"/>
    <w:rsid w:val="00F9229C"/>
    <w:rsid w:val="00FA3CAE"/>
    <w:rsid w:val="00FA5291"/>
    <w:rsid w:val="00FB111C"/>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pathy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About/Statisti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News/2014-02-14-media-releas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eopathyboard.gov.au/News/Newsletters.aspx" TargetMode="External"/><Relationship Id="rId4" Type="http://schemas.openxmlformats.org/officeDocument/2006/relationships/settings" Target="settings.xml"/><Relationship Id="rId9" Type="http://schemas.openxmlformats.org/officeDocument/2006/relationships/hyperlink" Target="http://www.ahpra.gov.au/National-Boards/Panel-member-recruitmen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B0C06-7CED-4763-9171-02D904F5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3369</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- 25 July 2013</dc:title>
  <dc:subject>Communique</dc:subject>
  <dc:creator>cwoodward</dc:creator>
  <cp:lastModifiedBy>gmeade</cp:lastModifiedBy>
  <cp:revision>2</cp:revision>
  <cp:lastPrinted>2013-09-11T04:25:00Z</cp:lastPrinted>
  <dcterms:created xsi:type="dcterms:W3CDTF">2014-03-03T01:04:00Z</dcterms:created>
  <dcterms:modified xsi:type="dcterms:W3CDTF">2014-03-03T01:04:00Z</dcterms:modified>
</cp:coreProperties>
</file>