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E3" w:rsidRPr="00C35DE1" w:rsidRDefault="008C5FE3" w:rsidP="001F7178">
      <w:pPr>
        <w:pStyle w:val="AHPRATitle"/>
        <w:rPr>
          <w:color w:val="00BCCE"/>
          <w:sz w:val="32"/>
          <w:szCs w:val="32"/>
        </w:rPr>
      </w:pPr>
      <w:r>
        <w:rPr>
          <w:color w:val="00BCCE"/>
          <w:sz w:val="32"/>
          <w:szCs w:val="32"/>
        </w:rPr>
        <w:t>Frequently asked questions (FAQ)</w:t>
      </w:r>
    </w:p>
    <w:p w:rsidR="008C5FE3" w:rsidRDefault="009830F2" w:rsidP="001F7178">
      <w:pPr>
        <w:pStyle w:val="AHPRAHeadline"/>
        <w:outlineLvl w:val="0"/>
      </w:pPr>
      <w:r>
        <w:rPr>
          <w:noProof/>
          <w:lang w:val="en-US"/>
        </w:rPr>
        <w:pict>
          <v:shapetype id="_x0000_t32" coordsize="21600,21600" o:spt="32" o:oned="t" path="m,l21600,21600e" filled="f">
            <v:path arrowok="t" fillok="f" o:connecttype="none"/>
            <o:lock v:ext="edit" shapetype="t"/>
          </v:shapetype>
          <v:shape id="_x0000_s1026" type="#_x0000_t32" style="position:absolute;margin-left:-55.65pt;margin-top:.15pt;width:274.95pt;height:0;z-index:251658240" o:connectortype="straight"/>
        </w:pict>
      </w:r>
    </w:p>
    <w:p w:rsidR="008C5FE3" w:rsidRPr="00C35DE1" w:rsidRDefault="008C5FE3" w:rsidP="001F7178">
      <w:pPr>
        <w:pStyle w:val="AHPRAHeadline"/>
        <w:outlineLvl w:val="0"/>
        <w:rPr>
          <w:color w:val="auto"/>
          <w:sz w:val="20"/>
          <w:szCs w:val="20"/>
        </w:rPr>
      </w:pPr>
      <w:r>
        <w:rPr>
          <w:color w:val="auto"/>
          <w:sz w:val="20"/>
          <w:szCs w:val="20"/>
        </w:rPr>
        <w:t>October 201</w:t>
      </w:r>
      <w:r w:rsidR="0042261A">
        <w:rPr>
          <w:color w:val="auto"/>
          <w:sz w:val="20"/>
          <w:szCs w:val="20"/>
        </w:rPr>
        <w:t>3</w:t>
      </w:r>
    </w:p>
    <w:p w:rsidR="008C5FE3" w:rsidRDefault="008C5FE3" w:rsidP="001F7178">
      <w:pPr>
        <w:pStyle w:val="AHPRAHeadline"/>
        <w:outlineLvl w:val="0"/>
        <w:rPr>
          <w:color w:val="60605B"/>
        </w:rPr>
      </w:pPr>
      <w:r>
        <w:rPr>
          <w:color w:val="60605B"/>
        </w:rPr>
        <w:t>Infection Control</w:t>
      </w:r>
    </w:p>
    <w:p w:rsidR="008C5FE3" w:rsidRPr="008C5FE3" w:rsidRDefault="00FB582C" w:rsidP="001F7178">
      <w:pPr>
        <w:pStyle w:val="AHPRASubhead"/>
        <w:rPr>
          <w:sz w:val="22"/>
          <w:szCs w:val="22"/>
        </w:rPr>
      </w:pPr>
      <w:r w:rsidRPr="00FB582C">
        <w:rPr>
          <w:sz w:val="22"/>
          <w:szCs w:val="22"/>
        </w:rPr>
        <w:t>Background</w:t>
      </w:r>
    </w:p>
    <w:p w:rsidR="008C5FE3" w:rsidRPr="0054511E" w:rsidRDefault="008C5FE3" w:rsidP="0054511E">
      <w:pPr>
        <w:pStyle w:val="Default"/>
        <w:rPr>
          <w:sz w:val="20"/>
          <w:szCs w:val="20"/>
        </w:rPr>
      </w:pPr>
      <w:r w:rsidRPr="0054511E">
        <w:rPr>
          <w:sz w:val="20"/>
          <w:szCs w:val="20"/>
        </w:rPr>
        <w:t xml:space="preserve">Under section 39 of the </w:t>
      </w:r>
      <w:r w:rsidRPr="0054511E">
        <w:rPr>
          <w:i/>
          <w:iCs/>
          <w:sz w:val="20"/>
          <w:szCs w:val="20"/>
        </w:rPr>
        <w:t xml:space="preserve">Health Practitioner Regulation National Law Act </w:t>
      </w:r>
      <w:r w:rsidRPr="0054511E">
        <w:rPr>
          <w:sz w:val="20"/>
          <w:szCs w:val="20"/>
        </w:rPr>
        <w:t xml:space="preserve">(National Law) as in force in each State and Territory, the Board has developed </w:t>
      </w:r>
      <w:r w:rsidRPr="0054511E">
        <w:rPr>
          <w:i/>
          <w:iCs/>
          <w:sz w:val="20"/>
          <w:szCs w:val="20"/>
        </w:rPr>
        <w:t xml:space="preserve">Guidelines on Infection Control </w:t>
      </w:r>
      <w:r w:rsidRPr="0054511E">
        <w:rPr>
          <w:sz w:val="20"/>
          <w:szCs w:val="20"/>
        </w:rPr>
        <w:t xml:space="preserve">(the Board’s Guidelines). </w:t>
      </w:r>
    </w:p>
    <w:p w:rsidR="008C5FE3" w:rsidRPr="0054511E" w:rsidRDefault="008C5FE3" w:rsidP="0054511E">
      <w:pPr>
        <w:pStyle w:val="Default"/>
        <w:rPr>
          <w:sz w:val="20"/>
          <w:szCs w:val="20"/>
        </w:rPr>
      </w:pPr>
    </w:p>
    <w:p w:rsidR="008C5FE3" w:rsidRPr="0054511E" w:rsidRDefault="008C5FE3" w:rsidP="0054511E">
      <w:pPr>
        <w:pStyle w:val="Default"/>
        <w:rPr>
          <w:sz w:val="20"/>
          <w:szCs w:val="20"/>
        </w:rPr>
      </w:pPr>
      <w:r w:rsidRPr="0054511E">
        <w:rPr>
          <w:sz w:val="20"/>
          <w:szCs w:val="20"/>
        </w:rPr>
        <w:t xml:space="preserve">The Board’s Guidelines are based on the adoption of the National Health and Medical Research Council (2010) </w:t>
      </w:r>
      <w:r w:rsidRPr="0054511E">
        <w:rPr>
          <w:i/>
          <w:iCs/>
          <w:sz w:val="20"/>
          <w:szCs w:val="20"/>
        </w:rPr>
        <w:t xml:space="preserve">Australian Guidelines for the Prevention and Control of Infection in Healthcare, </w:t>
      </w:r>
      <w:r w:rsidRPr="0054511E">
        <w:rPr>
          <w:rStyle w:val="ft"/>
          <w:color w:val="222222"/>
          <w:sz w:val="20"/>
          <w:szCs w:val="20"/>
        </w:rPr>
        <w:t>Commonwealth of Australia</w:t>
      </w:r>
      <w:r w:rsidRPr="0054511E">
        <w:rPr>
          <w:sz w:val="20"/>
          <w:szCs w:val="20"/>
        </w:rPr>
        <w:t xml:space="preserve"> (the </w:t>
      </w:r>
      <w:r>
        <w:rPr>
          <w:sz w:val="20"/>
          <w:szCs w:val="20"/>
        </w:rPr>
        <w:t>NHMRC</w:t>
      </w:r>
      <w:r w:rsidRPr="0054511E">
        <w:rPr>
          <w:sz w:val="20"/>
          <w:szCs w:val="20"/>
        </w:rPr>
        <w:t xml:space="preserve"> Guidelines). The </w:t>
      </w:r>
      <w:r>
        <w:rPr>
          <w:sz w:val="20"/>
          <w:szCs w:val="20"/>
        </w:rPr>
        <w:t>NHMRC</w:t>
      </w:r>
      <w:r w:rsidRPr="0054511E">
        <w:rPr>
          <w:sz w:val="20"/>
          <w:szCs w:val="20"/>
        </w:rPr>
        <w:t xml:space="preserve"> Guidelines are found at:</w:t>
      </w:r>
    </w:p>
    <w:p w:rsidR="008C5FE3" w:rsidRPr="0054511E" w:rsidRDefault="009830F2" w:rsidP="0054511E">
      <w:pPr>
        <w:pStyle w:val="Default"/>
        <w:rPr>
          <w:sz w:val="20"/>
          <w:szCs w:val="20"/>
        </w:rPr>
      </w:pPr>
      <w:hyperlink r:id="rId7" w:history="1">
        <w:r w:rsidR="009F7FB2" w:rsidRPr="00B445A1">
          <w:rPr>
            <w:rStyle w:val="Hyperlink"/>
            <w:sz w:val="20"/>
            <w:szCs w:val="20"/>
          </w:rPr>
          <w:t>www.nhmrc.gov.au/_files_nhmrc/publications/attachments/cd33_complete.pdf</w:t>
        </w:r>
      </w:hyperlink>
    </w:p>
    <w:p w:rsidR="008C5FE3" w:rsidRPr="0054511E" w:rsidRDefault="008C5FE3" w:rsidP="0054511E">
      <w:pPr>
        <w:pStyle w:val="Default"/>
        <w:rPr>
          <w:sz w:val="20"/>
          <w:szCs w:val="20"/>
        </w:rPr>
      </w:pPr>
    </w:p>
    <w:p w:rsidR="008C5FE3" w:rsidRPr="008C5FE3" w:rsidRDefault="008C5FE3" w:rsidP="0054511E">
      <w:pPr>
        <w:pStyle w:val="AHPRASubhead"/>
        <w:rPr>
          <w:sz w:val="22"/>
          <w:szCs w:val="22"/>
        </w:rPr>
      </w:pPr>
      <w:r>
        <w:rPr>
          <w:sz w:val="22"/>
          <w:szCs w:val="22"/>
        </w:rPr>
        <w:t>NHMRC</w:t>
      </w:r>
      <w:r w:rsidR="00FB582C" w:rsidRPr="00FB582C">
        <w:rPr>
          <w:sz w:val="22"/>
          <w:szCs w:val="22"/>
        </w:rPr>
        <w:t xml:space="preserve"> Guidelines</w:t>
      </w:r>
    </w:p>
    <w:p w:rsidR="008C5FE3" w:rsidRPr="0054511E" w:rsidRDefault="008C5FE3" w:rsidP="0054511E">
      <w:pPr>
        <w:pStyle w:val="Default"/>
        <w:rPr>
          <w:sz w:val="20"/>
          <w:szCs w:val="20"/>
        </w:rPr>
      </w:pPr>
      <w:r w:rsidRPr="0054511E">
        <w:rPr>
          <w:sz w:val="20"/>
          <w:szCs w:val="20"/>
        </w:rPr>
        <w:t xml:space="preserve">The </w:t>
      </w:r>
      <w:r>
        <w:rPr>
          <w:sz w:val="20"/>
          <w:szCs w:val="20"/>
        </w:rPr>
        <w:t>NHMRC</w:t>
      </w:r>
      <w:r w:rsidRPr="0054511E">
        <w:rPr>
          <w:sz w:val="20"/>
          <w:szCs w:val="20"/>
        </w:rPr>
        <w:t xml:space="preserve"> Guidelines are extensive and cover all health care situations, many of which are not applicable to osteopathic practice. However, as health practitioners, it is important for osteopaths to be familiar with the guidelines for all health care settings and to use professional discretion as to which apply to their clinical setting and caseload.</w:t>
      </w:r>
    </w:p>
    <w:p w:rsidR="008C5FE3" w:rsidRPr="0054511E" w:rsidRDefault="008C5FE3" w:rsidP="0054511E">
      <w:pPr>
        <w:pStyle w:val="Default"/>
        <w:rPr>
          <w:sz w:val="20"/>
          <w:szCs w:val="20"/>
        </w:rPr>
      </w:pPr>
    </w:p>
    <w:p w:rsidR="008C5FE3" w:rsidRPr="0054511E" w:rsidRDefault="008C5FE3" w:rsidP="0054511E">
      <w:pPr>
        <w:pStyle w:val="Default"/>
        <w:rPr>
          <w:sz w:val="20"/>
          <w:szCs w:val="20"/>
        </w:rPr>
      </w:pPr>
      <w:r w:rsidRPr="0054511E">
        <w:rPr>
          <w:sz w:val="20"/>
          <w:szCs w:val="20"/>
        </w:rPr>
        <w:t xml:space="preserve">To assist osteopaths to adhere to the Board’s Guidelines, the following is a brief outline of the most relevant sections of the </w:t>
      </w:r>
      <w:r>
        <w:rPr>
          <w:sz w:val="20"/>
          <w:szCs w:val="20"/>
        </w:rPr>
        <w:t>NHMRC</w:t>
      </w:r>
      <w:r w:rsidRPr="0054511E">
        <w:rPr>
          <w:sz w:val="20"/>
          <w:szCs w:val="20"/>
        </w:rPr>
        <w:t xml:space="preserve"> Guidelines: </w:t>
      </w:r>
    </w:p>
    <w:p w:rsidR="008C5FE3" w:rsidRPr="0054511E" w:rsidRDefault="008C5FE3" w:rsidP="0054511E">
      <w:pPr>
        <w:pStyle w:val="Default"/>
        <w:rPr>
          <w:sz w:val="20"/>
          <w:szCs w:val="20"/>
        </w:rPr>
      </w:pPr>
    </w:p>
    <w:p w:rsidR="008C5FE3" w:rsidRPr="0054511E" w:rsidRDefault="008C5FE3" w:rsidP="0054511E">
      <w:pPr>
        <w:pStyle w:val="Default"/>
        <w:numPr>
          <w:ilvl w:val="0"/>
          <w:numId w:val="34"/>
        </w:numPr>
        <w:ind w:left="360"/>
        <w:rPr>
          <w:sz w:val="20"/>
          <w:szCs w:val="20"/>
        </w:rPr>
      </w:pPr>
      <w:r w:rsidRPr="0054511E">
        <w:rPr>
          <w:sz w:val="20"/>
          <w:szCs w:val="20"/>
        </w:rPr>
        <w:t>Part A presents background information that is recommended reading for everyone working in health care</w:t>
      </w:r>
      <w:r w:rsidRPr="0054511E">
        <w:rPr>
          <w:b/>
          <w:bCs/>
          <w:sz w:val="20"/>
          <w:szCs w:val="20"/>
        </w:rPr>
        <w:t xml:space="preserve"> </w:t>
      </w:r>
      <w:r w:rsidRPr="0054511E">
        <w:rPr>
          <w:sz w:val="20"/>
          <w:szCs w:val="20"/>
        </w:rPr>
        <w:t>(for example as continuing professional development). It includes important basics of infection prevention and control, such as the main modes of transmission of infectious agents and the application of risk-management principles. This part of the guidelines is a useful overview to infection control and the context for further reading.</w:t>
      </w:r>
    </w:p>
    <w:p w:rsidR="008C5FE3" w:rsidRPr="0054511E" w:rsidRDefault="008C5FE3" w:rsidP="0054511E">
      <w:pPr>
        <w:pStyle w:val="Default"/>
        <w:rPr>
          <w:sz w:val="20"/>
          <w:szCs w:val="20"/>
        </w:rPr>
      </w:pPr>
    </w:p>
    <w:p w:rsidR="008C5FE3" w:rsidRPr="0054511E" w:rsidRDefault="008C5FE3" w:rsidP="0054511E">
      <w:pPr>
        <w:pStyle w:val="Default"/>
        <w:numPr>
          <w:ilvl w:val="0"/>
          <w:numId w:val="34"/>
        </w:numPr>
        <w:ind w:left="360"/>
        <w:rPr>
          <w:sz w:val="20"/>
          <w:szCs w:val="20"/>
        </w:rPr>
      </w:pPr>
      <w:r w:rsidRPr="0054511E">
        <w:rPr>
          <w:sz w:val="20"/>
          <w:szCs w:val="20"/>
        </w:rPr>
        <w:t>In Part B, the main areas which are of concern to osteopaths working in office-based private practice are in Section B1, which describe standard precautions used at all times to minimise the risk of transmission of infectious agents. In applying standard and transmission-based infection prevention and control strategies as part of day-to-day practice, osteopaths should ensure that their patients understand why certain practices are being undertaken, and that these practices are in place to protect everyone from infection. Osteopaths should also be aware of their role in minimising risks by following basic hand hygiene and use of alcohol-based hand rubs; hand care; respiratory hygiene; cough etiquette; the safe use and disposal of sharps; and environmental cleaning.</w:t>
      </w:r>
    </w:p>
    <w:p w:rsidR="008C5FE3" w:rsidRDefault="008C5FE3" w:rsidP="0054511E">
      <w:pPr>
        <w:pStyle w:val="Default"/>
        <w:rPr>
          <w:sz w:val="20"/>
          <w:szCs w:val="20"/>
        </w:rPr>
      </w:pPr>
    </w:p>
    <w:p w:rsidR="008C5FE3" w:rsidRPr="00B06E6A" w:rsidRDefault="008C5FE3" w:rsidP="00234100">
      <w:pPr>
        <w:pStyle w:val="Default"/>
        <w:rPr>
          <w:sz w:val="20"/>
          <w:szCs w:val="20"/>
        </w:rPr>
      </w:pPr>
      <w:r>
        <w:rPr>
          <w:sz w:val="20"/>
          <w:szCs w:val="20"/>
        </w:rPr>
        <w:t xml:space="preserve">To assist osteopaths to adhere to the Board’s Guidelines, the Board has summarised the sections of the NHMRC Guidelines which it considers to be of most relevance and importance to osteopaths in a supplementary paper titled: </w:t>
      </w:r>
      <w:r w:rsidRPr="003A053D">
        <w:rPr>
          <w:i/>
          <w:iCs/>
          <w:sz w:val="20"/>
          <w:szCs w:val="20"/>
        </w:rPr>
        <w:t xml:space="preserve">Infection Control: Summary of </w:t>
      </w:r>
      <w:r>
        <w:rPr>
          <w:i/>
          <w:iCs/>
          <w:sz w:val="20"/>
          <w:szCs w:val="20"/>
        </w:rPr>
        <w:t>NH</w:t>
      </w:r>
      <w:r w:rsidRPr="003A053D">
        <w:rPr>
          <w:i/>
          <w:iCs/>
          <w:sz w:val="20"/>
          <w:szCs w:val="20"/>
        </w:rPr>
        <w:t>MRC Guidelines for Osteopaths</w:t>
      </w:r>
      <w:r>
        <w:rPr>
          <w:i/>
          <w:iCs/>
          <w:sz w:val="20"/>
          <w:szCs w:val="20"/>
        </w:rPr>
        <w:t xml:space="preserve"> </w:t>
      </w:r>
      <w:r>
        <w:rPr>
          <w:sz w:val="20"/>
          <w:szCs w:val="20"/>
        </w:rPr>
        <w:t xml:space="preserve">(the Supplementary Paper). </w:t>
      </w:r>
    </w:p>
    <w:p w:rsidR="008C5FE3" w:rsidRPr="00B06E6A" w:rsidRDefault="008C5FE3" w:rsidP="00234100">
      <w:pPr>
        <w:pStyle w:val="Default"/>
        <w:rPr>
          <w:sz w:val="20"/>
          <w:szCs w:val="20"/>
        </w:rPr>
      </w:pPr>
    </w:p>
    <w:p w:rsidR="008C5FE3" w:rsidRPr="0054511E" w:rsidRDefault="008C5FE3" w:rsidP="0054511E">
      <w:pPr>
        <w:pStyle w:val="Default"/>
        <w:rPr>
          <w:sz w:val="20"/>
          <w:szCs w:val="20"/>
        </w:rPr>
      </w:pPr>
      <w:r>
        <w:rPr>
          <w:sz w:val="20"/>
          <w:szCs w:val="20"/>
        </w:rPr>
        <w:lastRenderedPageBreak/>
        <w:t xml:space="preserve">Both the Board’s Guidelines and the Supplementary Paper are published at: </w:t>
      </w:r>
      <w:r w:rsidRPr="0054511E">
        <w:rPr>
          <w:sz w:val="20"/>
          <w:szCs w:val="20"/>
        </w:rPr>
        <w:t xml:space="preserve"> </w:t>
      </w:r>
      <w:hyperlink r:id="rId8" w:history="1">
        <w:r w:rsidR="009F7FB2" w:rsidRPr="00B445A1">
          <w:rPr>
            <w:rStyle w:val="Hyperlink"/>
            <w:sz w:val="20"/>
            <w:szCs w:val="20"/>
          </w:rPr>
          <w:t>www.osteopathyboard.gov.au/Codes-Guidelines.aspx</w:t>
        </w:r>
      </w:hyperlink>
    </w:p>
    <w:p w:rsidR="008C5FE3" w:rsidRPr="0054511E" w:rsidRDefault="008C5FE3" w:rsidP="0054511E">
      <w:pPr>
        <w:pStyle w:val="Default"/>
        <w:rPr>
          <w:sz w:val="20"/>
          <w:szCs w:val="20"/>
        </w:rPr>
      </w:pPr>
    </w:p>
    <w:p w:rsidR="008C5FE3" w:rsidRPr="0054511E" w:rsidRDefault="008C5FE3" w:rsidP="00D21461">
      <w:pPr>
        <w:pStyle w:val="Default"/>
        <w:rPr>
          <w:sz w:val="20"/>
          <w:szCs w:val="20"/>
        </w:rPr>
      </w:pPr>
      <w:r w:rsidRPr="0054511E">
        <w:rPr>
          <w:sz w:val="20"/>
          <w:szCs w:val="20"/>
        </w:rPr>
        <w:t xml:space="preserve">This FAQ sheet is a brief overview of questions that have been raised with the Board while developing the Guidelines. The following FAQs </w:t>
      </w:r>
      <w:r>
        <w:rPr>
          <w:sz w:val="20"/>
          <w:szCs w:val="20"/>
        </w:rPr>
        <w:t xml:space="preserve">should </w:t>
      </w:r>
      <w:r w:rsidRPr="0054511E">
        <w:rPr>
          <w:sz w:val="20"/>
          <w:szCs w:val="20"/>
        </w:rPr>
        <w:t>be used in conjunction with</w:t>
      </w:r>
      <w:r>
        <w:rPr>
          <w:sz w:val="20"/>
          <w:szCs w:val="20"/>
        </w:rPr>
        <w:t xml:space="preserve"> the Supplementary Paper in identifying those</w:t>
      </w:r>
      <w:r w:rsidRPr="0054511E">
        <w:rPr>
          <w:sz w:val="20"/>
          <w:szCs w:val="20"/>
        </w:rPr>
        <w:t xml:space="preserve"> sections of the </w:t>
      </w:r>
      <w:r>
        <w:rPr>
          <w:sz w:val="20"/>
          <w:szCs w:val="20"/>
        </w:rPr>
        <w:t>NHMRC</w:t>
      </w:r>
      <w:r w:rsidRPr="0054511E">
        <w:rPr>
          <w:sz w:val="20"/>
          <w:szCs w:val="20"/>
        </w:rPr>
        <w:t xml:space="preserve"> Guidelines that are most relevant for office-based private practice.</w:t>
      </w:r>
    </w:p>
    <w:p w:rsidR="008C5FE3" w:rsidRDefault="008C5FE3" w:rsidP="0054511E">
      <w:pPr>
        <w:pStyle w:val="Default"/>
        <w:tabs>
          <w:tab w:val="left" w:pos="6589"/>
        </w:tabs>
        <w:rPr>
          <w:sz w:val="20"/>
          <w:szCs w:val="20"/>
        </w:rPr>
      </w:pPr>
    </w:p>
    <w:p w:rsidR="008C5FE3" w:rsidRDefault="008C5FE3" w:rsidP="0054511E">
      <w:pPr>
        <w:pStyle w:val="AHPRASubhead"/>
        <w:rPr>
          <w:sz w:val="24"/>
          <w:szCs w:val="24"/>
        </w:rPr>
      </w:pPr>
    </w:p>
    <w:p w:rsidR="008C5FE3" w:rsidRPr="008C5FE3" w:rsidRDefault="00FB582C" w:rsidP="0054511E">
      <w:pPr>
        <w:pStyle w:val="AHPRASubhead"/>
        <w:rPr>
          <w:sz w:val="24"/>
          <w:szCs w:val="24"/>
        </w:rPr>
      </w:pPr>
      <w:r w:rsidRPr="00FB582C">
        <w:rPr>
          <w:sz w:val="24"/>
          <w:szCs w:val="24"/>
        </w:rPr>
        <w:t>Frequently asked questions (FAQs)</w:t>
      </w:r>
    </w:p>
    <w:p w:rsidR="008C5FE3" w:rsidRPr="0054511E" w:rsidRDefault="008C5FE3" w:rsidP="0054511E">
      <w:pPr>
        <w:pStyle w:val="AHPRASubhead"/>
      </w:pPr>
      <w:r w:rsidRPr="0054511E">
        <w:t>Will all clinics be required to vacuum carpets with a HEPA filter on a daily basis?</w:t>
      </w:r>
    </w:p>
    <w:p w:rsidR="008C5FE3" w:rsidRPr="0054511E" w:rsidRDefault="008C5FE3" w:rsidP="0054511E">
      <w:pPr>
        <w:pStyle w:val="Default"/>
        <w:rPr>
          <w:sz w:val="20"/>
          <w:szCs w:val="20"/>
        </w:rPr>
      </w:pPr>
      <w:r w:rsidRPr="0054511E">
        <w:rPr>
          <w:sz w:val="20"/>
          <w:szCs w:val="20"/>
        </w:rPr>
        <w:t>No. While considered ideal, it is not essential in osteopathic office-based practice.</w:t>
      </w:r>
    </w:p>
    <w:p w:rsidR="008C5FE3" w:rsidRDefault="008C5FE3" w:rsidP="0054511E">
      <w:pPr>
        <w:pStyle w:val="Default"/>
        <w:rPr>
          <w:sz w:val="20"/>
          <w:szCs w:val="20"/>
        </w:rPr>
      </w:pPr>
    </w:p>
    <w:p w:rsidR="008C5FE3" w:rsidRPr="0054511E" w:rsidRDefault="008C5FE3" w:rsidP="0054511E">
      <w:pPr>
        <w:pStyle w:val="AHPRASubhead"/>
      </w:pPr>
      <w:r w:rsidRPr="0054511E">
        <w:t>Are hard floor surfaces required in all treatment rooms?</w:t>
      </w:r>
    </w:p>
    <w:p w:rsidR="008C5FE3" w:rsidRPr="0054511E" w:rsidRDefault="008C5FE3" w:rsidP="0054511E">
      <w:pPr>
        <w:autoSpaceDE w:val="0"/>
        <w:autoSpaceDN w:val="0"/>
        <w:adjustRightInd w:val="0"/>
        <w:spacing w:after="0"/>
        <w:rPr>
          <w:rFonts w:ascii="Arial" w:hAnsi="Arial" w:cs="Arial"/>
          <w:color w:val="000000"/>
          <w:sz w:val="20"/>
          <w:szCs w:val="20"/>
        </w:rPr>
      </w:pPr>
      <w:r w:rsidRPr="0054511E">
        <w:rPr>
          <w:rFonts w:ascii="Arial" w:hAnsi="Arial" w:cs="Arial"/>
          <w:sz w:val="20"/>
          <w:szCs w:val="20"/>
        </w:rPr>
        <w:t xml:space="preserve">Floor coverings have not been generally related to healthcare associated infection. Hard surfaces are easier to clean, however carpeting may offer advantages unrelated to infection prevention and control, including noise reduction. The </w:t>
      </w:r>
      <w:r>
        <w:rPr>
          <w:rFonts w:ascii="Arial" w:hAnsi="Arial" w:cs="Arial"/>
          <w:sz w:val="20"/>
          <w:szCs w:val="20"/>
        </w:rPr>
        <w:t>NHMRC</w:t>
      </w:r>
      <w:r w:rsidRPr="0054511E">
        <w:rPr>
          <w:rFonts w:ascii="Arial" w:hAnsi="Arial" w:cs="Arial"/>
          <w:sz w:val="20"/>
          <w:szCs w:val="20"/>
        </w:rPr>
        <w:t xml:space="preserve"> Guidelines suggest that textile floor finishes should not be considered unless there is a comprehensive maintenance and replacement program in place complying with AS/NZS 3733.  The Osteopathy Board of Australia considers that adherence to this standard is not essential for office-based osteopathic practice but regular thorough cleaning, maintenance and replacement is expected.</w:t>
      </w:r>
    </w:p>
    <w:p w:rsidR="008C5FE3" w:rsidRDefault="008C5FE3" w:rsidP="0054511E">
      <w:pPr>
        <w:pStyle w:val="Default"/>
        <w:rPr>
          <w:sz w:val="20"/>
          <w:szCs w:val="20"/>
        </w:rPr>
      </w:pPr>
    </w:p>
    <w:p w:rsidR="008C5FE3" w:rsidRPr="0054511E" w:rsidRDefault="008C5FE3" w:rsidP="0054511E">
      <w:pPr>
        <w:pStyle w:val="AHPRASubhead"/>
      </w:pPr>
      <w:r w:rsidRPr="0054511E">
        <w:t>Will all clinics need to keep a variety of systems, records and test results to show they meet hygiene standards for health care settings?</w:t>
      </w:r>
    </w:p>
    <w:p w:rsidR="008C5FE3" w:rsidRPr="0054511E" w:rsidRDefault="008C5FE3" w:rsidP="0054511E">
      <w:pPr>
        <w:pStyle w:val="Default"/>
        <w:rPr>
          <w:sz w:val="20"/>
          <w:szCs w:val="20"/>
        </w:rPr>
      </w:pPr>
      <w:r w:rsidRPr="0054511E">
        <w:rPr>
          <w:sz w:val="20"/>
          <w:szCs w:val="20"/>
        </w:rPr>
        <w:t>No. Regular cleaning and adherence to hygiene standards is expected in all osteopathic practices but formal record keeping is not essential for office-based osteopathic practices.</w:t>
      </w:r>
    </w:p>
    <w:p w:rsidR="008C5FE3" w:rsidRPr="0054511E" w:rsidRDefault="008C5FE3" w:rsidP="0054511E">
      <w:pPr>
        <w:pStyle w:val="Default"/>
        <w:rPr>
          <w:sz w:val="20"/>
          <w:szCs w:val="20"/>
        </w:rPr>
      </w:pPr>
    </w:p>
    <w:p w:rsidR="008C5FE3" w:rsidRPr="0054511E" w:rsidRDefault="008C5FE3" w:rsidP="0054511E">
      <w:pPr>
        <w:pStyle w:val="AHPRASubhead"/>
      </w:pPr>
      <w:r w:rsidRPr="0054511E">
        <w:t xml:space="preserve">Should sharps bins be located in every treatment room or is a single, portable sharps </w:t>
      </w:r>
      <w:proofErr w:type="spellStart"/>
      <w:r w:rsidRPr="0054511E">
        <w:t>bin</w:t>
      </w:r>
      <w:proofErr w:type="spellEnd"/>
      <w:r w:rsidRPr="0054511E">
        <w:t xml:space="preserve"> sufficient?</w:t>
      </w:r>
    </w:p>
    <w:p w:rsidR="008C5FE3" w:rsidRPr="0054511E" w:rsidRDefault="008C5FE3" w:rsidP="0054511E">
      <w:pPr>
        <w:pStyle w:val="Default"/>
        <w:rPr>
          <w:sz w:val="20"/>
          <w:szCs w:val="20"/>
        </w:rPr>
      </w:pPr>
      <w:r>
        <w:rPr>
          <w:sz w:val="20"/>
          <w:szCs w:val="20"/>
        </w:rPr>
        <w:t xml:space="preserve">A sharps bin must be located in every treatment room. </w:t>
      </w:r>
      <w:r w:rsidRPr="0054511E">
        <w:rPr>
          <w:sz w:val="20"/>
          <w:szCs w:val="20"/>
        </w:rPr>
        <w:t>A portable sharps bin will be considered sufficient, provided appropriate measures are taken to ensure the bin is in the treatment room and is as close as possible to the point of use, out of reach of children and secure to prevent tipping.</w:t>
      </w:r>
    </w:p>
    <w:p w:rsidR="008C5FE3" w:rsidRPr="0054511E" w:rsidRDefault="008C5FE3" w:rsidP="0054511E">
      <w:pPr>
        <w:pStyle w:val="Default"/>
        <w:rPr>
          <w:sz w:val="20"/>
          <w:szCs w:val="20"/>
        </w:rPr>
      </w:pPr>
    </w:p>
    <w:p w:rsidR="008C5FE3" w:rsidRPr="0054511E" w:rsidRDefault="008C5FE3" w:rsidP="0054511E">
      <w:pPr>
        <w:pStyle w:val="AHPRASubhead"/>
      </w:pPr>
      <w:r w:rsidRPr="0054511E">
        <w:t>Does every treatment room require a basin for washing hands?</w:t>
      </w:r>
    </w:p>
    <w:p w:rsidR="008C5FE3" w:rsidRPr="0054511E" w:rsidRDefault="008C5FE3" w:rsidP="0054511E">
      <w:pPr>
        <w:pStyle w:val="Default"/>
        <w:rPr>
          <w:sz w:val="20"/>
          <w:szCs w:val="20"/>
        </w:rPr>
      </w:pPr>
      <w:r w:rsidRPr="0054511E">
        <w:rPr>
          <w:sz w:val="20"/>
          <w:szCs w:val="20"/>
        </w:rPr>
        <w:t>No. The Osteopathy Board of Australia considers that it is a minimum standard to use soap and water between patients</w:t>
      </w:r>
      <w:r w:rsidRPr="0054511E">
        <w:rPr>
          <w:sz w:val="20"/>
          <w:szCs w:val="20"/>
          <w:lang w:eastAsia="en-AU"/>
        </w:rPr>
        <w:t>, with the recommendation that using alcohol-based hand rubs is more effective against the majority of common infectious agents on hands than hand hygiene with plain or antiseptic soap and water.</w:t>
      </w:r>
      <w:r w:rsidRPr="0054511E">
        <w:rPr>
          <w:sz w:val="20"/>
          <w:szCs w:val="20"/>
        </w:rPr>
        <w:t xml:space="preserve"> In circumstances when there is an increased risk of infection transmission, alcohol-based hand rubs should be employed, or if a basin is not available in the treatment room.</w:t>
      </w:r>
    </w:p>
    <w:p w:rsidR="008C5FE3" w:rsidRPr="0054511E" w:rsidRDefault="008C5FE3" w:rsidP="0054511E">
      <w:pPr>
        <w:pStyle w:val="Default"/>
        <w:rPr>
          <w:sz w:val="20"/>
          <w:szCs w:val="20"/>
        </w:rPr>
      </w:pPr>
    </w:p>
    <w:p w:rsidR="008C5FE3" w:rsidRPr="0054511E" w:rsidRDefault="008C5FE3" w:rsidP="0054511E">
      <w:pPr>
        <w:pStyle w:val="AHPRASubhead"/>
      </w:pPr>
      <w:r w:rsidRPr="0054511E">
        <w:t>Do treatment rooms require alcohol-based hand rubs to comply with hygiene requirements or will soap and warm water be sufficient?</w:t>
      </w:r>
    </w:p>
    <w:p w:rsidR="008C5FE3" w:rsidRPr="0054511E" w:rsidRDefault="008C5FE3" w:rsidP="0054511E">
      <w:pPr>
        <w:pStyle w:val="Default"/>
        <w:rPr>
          <w:sz w:val="20"/>
          <w:szCs w:val="20"/>
        </w:rPr>
      </w:pPr>
      <w:r w:rsidRPr="0054511E">
        <w:rPr>
          <w:sz w:val="20"/>
          <w:szCs w:val="20"/>
        </w:rPr>
        <w:t>As good practice, alcohol-based hand rubs should be available to all healthcare workers as required.  They do not need to be in each treatment room if a basin is available, but easily accessible to all.</w:t>
      </w:r>
    </w:p>
    <w:p w:rsidR="008C5FE3" w:rsidRPr="0054511E" w:rsidRDefault="008C5FE3" w:rsidP="0054511E">
      <w:pPr>
        <w:pStyle w:val="Default"/>
        <w:rPr>
          <w:sz w:val="20"/>
          <w:szCs w:val="20"/>
        </w:rPr>
      </w:pPr>
    </w:p>
    <w:p w:rsidR="008C5FE3" w:rsidRPr="0054511E" w:rsidRDefault="008C5FE3" w:rsidP="0054511E">
      <w:pPr>
        <w:pStyle w:val="Default"/>
        <w:rPr>
          <w:sz w:val="20"/>
          <w:szCs w:val="20"/>
        </w:rPr>
      </w:pPr>
    </w:p>
    <w:p w:rsidR="008C5FE3" w:rsidRDefault="008C5FE3" w:rsidP="0054511E">
      <w:pPr>
        <w:pStyle w:val="AHPRASubhead"/>
      </w:pPr>
    </w:p>
    <w:p w:rsidR="008C5FE3" w:rsidRPr="0054511E" w:rsidRDefault="008C5FE3" w:rsidP="0054511E">
      <w:pPr>
        <w:pStyle w:val="AHPRASubhead"/>
      </w:pPr>
      <w:r w:rsidRPr="0054511E">
        <w:lastRenderedPageBreak/>
        <w:t>Are domestic laundry machines and powders adequate for washing of towels, gowns, or treatment bench covers or do such items need to be laundered under AS/NZS 4146?</w:t>
      </w:r>
    </w:p>
    <w:p w:rsidR="008C5FE3" w:rsidRPr="0054511E" w:rsidRDefault="008C5FE3" w:rsidP="0054511E">
      <w:pPr>
        <w:autoSpaceDE w:val="0"/>
        <w:autoSpaceDN w:val="0"/>
        <w:adjustRightInd w:val="0"/>
        <w:spacing w:after="0"/>
        <w:rPr>
          <w:rFonts w:ascii="Arial" w:hAnsi="Arial" w:cs="Arial"/>
          <w:sz w:val="20"/>
          <w:szCs w:val="20"/>
        </w:rPr>
      </w:pPr>
      <w:r w:rsidRPr="0054511E">
        <w:rPr>
          <w:rFonts w:ascii="Arial" w:hAnsi="Arial" w:cs="Arial"/>
          <w:sz w:val="20"/>
          <w:szCs w:val="20"/>
        </w:rPr>
        <w:t>Domestic laundry machines and powders are considered adequate for washing these items in normal circumstances.  In situations when an increased risk of infection transmission is present, items should be laundered according to AS/NZS 4146. Used linen may be washed in domestic washing machine in separate loads to other domestic washing. If hot water is not available, only individual patient loads should be washed at one time. It is recommended that clothes dryers should be used for drying.</w:t>
      </w:r>
    </w:p>
    <w:p w:rsidR="008C5FE3" w:rsidRDefault="008C5FE3" w:rsidP="0054511E">
      <w:pPr>
        <w:pStyle w:val="Default"/>
        <w:rPr>
          <w:sz w:val="20"/>
          <w:szCs w:val="20"/>
        </w:rPr>
      </w:pPr>
    </w:p>
    <w:p w:rsidR="008C5FE3" w:rsidRDefault="008C5FE3" w:rsidP="00D21461">
      <w:pPr>
        <w:pStyle w:val="AHPRASubhead"/>
      </w:pPr>
      <w:r w:rsidRPr="0054511E">
        <w:t>Are all osteopaths engaged in clinical practice required to follow the immunisation recommendations for the prevention and control of communicable diseases?</w:t>
      </w:r>
    </w:p>
    <w:p w:rsidR="008C5FE3" w:rsidRPr="000103D5" w:rsidRDefault="008C5FE3" w:rsidP="0054511E">
      <w:pPr>
        <w:pStyle w:val="Default"/>
        <w:rPr>
          <w:sz w:val="20"/>
          <w:szCs w:val="20"/>
        </w:rPr>
      </w:pPr>
      <w:r w:rsidRPr="0054511E">
        <w:rPr>
          <w:sz w:val="20"/>
          <w:szCs w:val="20"/>
        </w:rPr>
        <w:t>No.  While it is recommended that all practitioners follow the immunisation recommendations, the Osteopathy Board of Australia recognises the right of individuals to choose not to be immunised.  However, if such a choice is made, it must be undertaken with a clear understanding of the risks, both to the practitioner and to patients.  These risks must be actively managed while remembering that the health and wellbeing of the patient is the practitioner’s primary concern.</w:t>
      </w:r>
      <w:r w:rsidR="000103D5">
        <w:rPr>
          <w:sz w:val="20"/>
          <w:szCs w:val="20"/>
        </w:rPr>
        <w:t xml:space="preserve"> </w:t>
      </w:r>
      <w:r w:rsidR="00FB582C" w:rsidRPr="00FB582C">
        <w:rPr>
          <w:sz w:val="20"/>
          <w:szCs w:val="20"/>
        </w:rPr>
        <w:t>Familiarisation with exclusion periods for each communicable disease is essential.</w:t>
      </w:r>
    </w:p>
    <w:p w:rsidR="008C5FE3" w:rsidRDefault="008C5FE3" w:rsidP="0054511E">
      <w:pPr>
        <w:pStyle w:val="Default"/>
        <w:rPr>
          <w:sz w:val="20"/>
          <w:szCs w:val="20"/>
        </w:rPr>
      </w:pPr>
    </w:p>
    <w:p w:rsidR="008C5FE3" w:rsidRPr="0054511E" w:rsidRDefault="008C5FE3" w:rsidP="00D21461">
      <w:pPr>
        <w:pStyle w:val="AHPRASubhead"/>
        <w:rPr>
          <w:b w:val="0"/>
          <w:bCs w:val="0"/>
          <w:color w:val="00B0F0"/>
        </w:rPr>
      </w:pPr>
      <w:r w:rsidRPr="0054511E">
        <w:t>Should more specific infection control guidelines be published for circumstances in which osteopaths include skin penetrating techniques in their practice?</w:t>
      </w:r>
    </w:p>
    <w:p w:rsidR="008C5FE3" w:rsidRDefault="008C5FE3" w:rsidP="0054511E">
      <w:pPr>
        <w:pStyle w:val="Default"/>
        <w:rPr>
          <w:sz w:val="20"/>
          <w:szCs w:val="20"/>
        </w:rPr>
      </w:pPr>
      <w:r w:rsidRPr="0054511E">
        <w:rPr>
          <w:sz w:val="20"/>
          <w:szCs w:val="20"/>
        </w:rPr>
        <w:t xml:space="preserve">The </w:t>
      </w:r>
      <w:r>
        <w:rPr>
          <w:sz w:val="20"/>
          <w:szCs w:val="20"/>
        </w:rPr>
        <w:t>NHMRC</w:t>
      </w:r>
      <w:r w:rsidRPr="0054511E">
        <w:rPr>
          <w:sz w:val="20"/>
          <w:szCs w:val="20"/>
        </w:rPr>
        <w:t xml:space="preserve"> Guidelines are clear and concise and include principles rather than specific direction.</w:t>
      </w:r>
      <w:r>
        <w:rPr>
          <w:sz w:val="20"/>
          <w:szCs w:val="20"/>
        </w:rPr>
        <w:t xml:space="preserve"> </w:t>
      </w:r>
    </w:p>
    <w:p w:rsidR="008C5FE3" w:rsidRDefault="008C5FE3" w:rsidP="0054511E">
      <w:pPr>
        <w:pStyle w:val="Default"/>
        <w:rPr>
          <w:sz w:val="20"/>
          <w:szCs w:val="20"/>
        </w:rPr>
      </w:pPr>
    </w:p>
    <w:p w:rsidR="008C5FE3" w:rsidRDefault="008C5FE3" w:rsidP="0054511E">
      <w:pPr>
        <w:pStyle w:val="Default"/>
        <w:rPr>
          <w:sz w:val="20"/>
          <w:szCs w:val="20"/>
        </w:rPr>
      </w:pPr>
      <w:r>
        <w:rPr>
          <w:sz w:val="20"/>
          <w:szCs w:val="20"/>
        </w:rPr>
        <w:t>Each state and territory has legislation that regulates skin penetration procedures. Osteopaths who use techniques involving skin penetration must read and comply with these requirements. The legislation for each state and territory cannot be summarised here but familiarisation with appropriate legislation is essential.</w:t>
      </w:r>
    </w:p>
    <w:p w:rsidR="008C5FE3" w:rsidRDefault="008C5FE3" w:rsidP="0054511E">
      <w:pPr>
        <w:pStyle w:val="Default"/>
        <w:rPr>
          <w:sz w:val="20"/>
          <w:szCs w:val="20"/>
        </w:rPr>
      </w:pPr>
    </w:p>
    <w:p w:rsidR="008C5FE3" w:rsidRDefault="008C5FE3" w:rsidP="0054511E">
      <w:pPr>
        <w:pStyle w:val="Default"/>
        <w:rPr>
          <w:sz w:val="20"/>
          <w:szCs w:val="20"/>
        </w:rPr>
      </w:pPr>
      <w:r>
        <w:rPr>
          <w:sz w:val="20"/>
          <w:szCs w:val="20"/>
        </w:rPr>
        <w:t>Some state and territory regulations and legislation contain specific directions for the office-based practice environment where skin penetration procedures are utilised.  These include:</w:t>
      </w:r>
    </w:p>
    <w:p w:rsidR="008C5FE3" w:rsidRDefault="008C5FE3">
      <w:pPr>
        <w:pStyle w:val="Default"/>
        <w:numPr>
          <w:ilvl w:val="0"/>
          <w:numId w:val="35"/>
        </w:numPr>
        <w:rPr>
          <w:sz w:val="20"/>
          <w:szCs w:val="20"/>
        </w:rPr>
      </w:pPr>
      <w:r>
        <w:rPr>
          <w:sz w:val="20"/>
          <w:szCs w:val="20"/>
        </w:rPr>
        <w:t xml:space="preserve">wash basins with warm water located in each room, </w:t>
      </w:r>
    </w:p>
    <w:p w:rsidR="008C5FE3" w:rsidRDefault="008C5FE3">
      <w:pPr>
        <w:pStyle w:val="Default"/>
        <w:numPr>
          <w:ilvl w:val="0"/>
          <w:numId w:val="35"/>
        </w:numPr>
        <w:rPr>
          <w:sz w:val="20"/>
          <w:szCs w:val="20"/>
        </w:rPr>
      </w:pPr>
      <w:r>
        <w:rPr>
          <w:sz w:val="20"/>
          <w:szCs w:val="20"/>
        </w:rPr>
        <w:t xml:space="preserve">single use towels or other hand drying equipment next to the sink, </w:t>
      </w:r>
    </w:p>
    <w:p w:rsidR="008C5FE3" w:rsidRDefault="008C5FE3">
      <w:pPr>
        <w:pStyle w:val="Default"/>
        <w:numPr>
          <w:ilvl w:val="0"/>
          <w:numId w:val="35"/>
        </w:numPr>
        <w:rPr>
          <w:sz w:val="20"/>
          <w:szCs w:val="20"/>
        </w:rPr>
      </w:pPr>
      <w:r>
        <w:rPr>
          <w:sz w:val="20"/>
          <w:szCs w:val="20"/>
        </w:rPr>
        <w:t xml:space="preserve">fresh garments or towels to be used on each patient, </w:t>
      </w:r>
    </w:p>
    <w:p w:rsidR="008C5FE3" w:rsidRDefault="008C5FE3">
      <w:pPr>
        <w:pStyle w:val="Default"/>
        <w:numPr>
          <w:ilvl w:val="0"/>
          <w:numId w:val="35"/>
        </w:numPr>
        <w:rPr>
          <w:sz w:val="20"/>
          <w:szCs w:val="20"/>
        </w:rPr>
      </w:pPr>
      <w:r>
        <w:rPr>
          <w:sz w:val="20"/>
          <w:szCs w:val="20"/>
        </w:rPr>
        <w:t xml:space="preserve">linen on beds must be covered with single use paper or protective towel, </w:t>
      </w:r>
    </w:p>
    <w:p w:rsidR="008C5FE3" w:rsidRDefault="008C5FE3">
      <w:pPr>
        <w:pStyle w:val="Default"/>
        <w:numPr>
          <w:ilvl w:val="0"/>
          <w:numId w:val="35"/>
        </w:numPr>
        <w:rPr>
          <w:sz w:val="20"/>
          <w:szCs w:val="20"/>
        </w:rPr>
      </w:pPr>
      <w:r>
        <w:rPr>
          <w:sz w:val="20"/>
          <w:szCs w:val="20"/>
        </w:rPr>
        <w:t xml:space="preserve">all linen must be cleaned with hot water and laundry detergent, and </w:t>
      </w:r>
    </w:p>
    <w:p w:rsidR="008C5FE3" w:rsidRDefault="008C5FE3">
      <w:pPr>
        <w:pStyle w:val="Default"/>
        <w:numPr>
          <w:ilvl w:val="0"/>
          <w:numId w:val="35"/>
        </w:numPr>
        <w:rPr>
          <w:sz w:val="20"/>
          <w:szCs w:val="20"/>
        </w:rPr>
      </w:pPr>
      <w:proofErr w:type="gramStart"/>
      <w:r>
        <w:rPr>
          <w:sz w:val="20"/>
          <w:szCs w:val="20"/>
        </w:rPr>
        <w:t>all</w:t>
      </w:r>
      <w:proofErr w:type="gramEnd"/>
      <w:r>
        <w:rPr>
          <w:sz w:val="20"/>
          <w:szCs w:val="20"/>
        </w:rPr>
        <w:t xml:space="preserve"> linen should be stored where it will not be contaminated. </w:t>
      </w:r>
    </w:p>
    <w:p w:rsidR="008C5FE3" w:rsidRDefault="008C5FE3" w:rsidP="000168D9">
      <w:pPr>
        <w:pStyle w:val="Default"/>
        <w:rPr>
          <w:sz w:val="20"/>
          <w:szCs w:val="20"/>
        </w:rPr>
      </w:pPr>
    </w:p>
    <w:p w:rsidR="008C5FE3" w:rsidRDefault="008C5FE3" w:rsidP="000168D9">
      <w:pPr>
        <w:pStyle w:val="Default"/>
        <w:rPr>
          <w:sz w:val="20"/>
          <w:szCs w:val="20"/>
        </w:rPr>
      </w:pPr>
      <w:r>
        <w:rPr>
          <w:sz w:val="20"/>
          <w:szCs w:val="20"/>
        </w:rPr>
        <w:t>Some legislation also specifies, amongst other things, the use of gloves, masks, face protection, swabs and equipment sterilisation.</w:t>
      </w:r>
    </w:p>
    <w:p w:rsidR="008C5FE3" w:rsidRDefault="008C5FE3" w:rsidP="0054511E">
      <w:pPr>
        <w:pStyle w:val="Default"/>
        <w:rPr>
          <w:sz w:val="20"/>
          <w:szCs w:val="20"/>
        </w:rPr>
      </w:pPr>
    </w:p>
    <w:p w:rsidR="008C5FE3" w:rsidRDefault="008C5FE3" w:rsidP="0054511E">
      <w:pPr>
        <w:pStyle w:val="Default"/>
        <w:rPr>
          <w:sz w:val="20"/>
          <w:szCs w:val="20"/>
        </w:rPr>
      </w:pPr>
      <w:r>
        <w:rPr>
          <w:sz w:val="20"/>
          <w:szCs w:val="20"/>
        </w:rPr>
        <w:t>A comprehensive resource for osteopaths who practice skin penetration techniques is t</w:t>
      </w:r>
      <w:r w:rsidRPr="00D62F42">
        <w:rPr>
          <w:sz w:val="20"/>
          <w:szCs w:val="20"/>
        </w:rPr>
        <w:t xml:space="preserve">he Chinese Medicine Board of </w:t>
      </w:r>
      <w:bookmarkStart w:id="0" w:name="policies"/>
      <w:bookmarkEnd w:id="0"/>
      <w:r w:rsidR="0042261A">
        <w:rPr>
          <w:sz w:val="20"/>
          <w:szCs w:val="20"/>
        </w:rPr>
        <w:t>Australia’s</w:t>
      </w:r>
      <w:r w:rsidR="0042261A" w:rsidRPr="00D62F42">
        <w:rPr>
          <w:sz w:val="20"/>
          <w:szCs w:val="20"/>
        </w:rPr>
        <w:t xml:space="preserve"> </w:t>
      </w:r>
      <w:hyperlink r:id="rId9" w:history="1">
        <w:r w:rsidR="0042261A">
          <w:rPr>
            <w:rStyle w:val="Hyperlink"/>
            <w:i/>
            <w:iCs/>
            <w:sz w:val="20"/>
            <w:szCs w:val="20"/>
          </w:rPr>
          <w:t>Infection prevention and control guidelines for acupuncture practice</w:t>
        </w:r>
      </w:hyperlink>
      <w:r w:rsidR="0042261A">
        <w:rPr>
          <w:sz w:val="20"/>
          <w:szCs w:val="20"/>
        </w:rPr>
        <w:t>.</w:t>
      </w:r>
    </w:p>
    <w:p w:rsidR="008C5FE3" w:rsidRDefault="008C5FE3" w:rsidP="0054511E">
      <w:pPr>
        <w:pStyle w:val="Default"/>
        <w:rPr>
          <w:sz w:val="20"/>
          <w:szCs w:val="20"/>
        </w:rPr>
      </w:pPr>
    </w:p>
    <w:p w:rsidR="008C5FE3" w:rsidRPr="00D62F42" w:rsidRDefault="008C5FE3" w:rsidP="0054511E">
      <w:pPr>
        <w:pStyle w:val="Default"/>
        <w:rPr>
          <w:sz w:val="20"/>
          <w:szCs w:val="20"/>
        </w:rPr>
      </w:pPr>
    </w:p>
    <w:sectPr w:rsidR="008C5FE3" w:rsidRPr="00D62F42" w:rsidSect="008C5FE3">
      <w:headerReference w:type="default" r:id="rId10"/>
      <w:footerReference w:type="even" r:id="rId11"/>
      <w:footerReference w:type="default" r:id="rId12"/>
      <w:headerReference w:type="first" r:id="rId13"/>
      <w:footerReference w:type="first" r:id="rId14"/>
      <w:type w:val="continuous"/>
      <w:pgSz w:w="11900" w:h="16840" w:code="9"/>
      <w:pgMar w:top="1985" w:right="1270" w:bottom="1985"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E3" w:rsidRDefault="008C5FE3" w:rsidP="001F7178">
      <w:pPr>
        <w:spacing w:after="0"/>
      </w:pPr>
      <w:r>
        <w:separator/>
      </w:r>
    </w:p>
  </w:endnote>
  <w:endnote w:type="continuationSeparator" w:id="0">
    <w:p w:rsidR="008C5FE3" w:rsidRDefault="008C5FE3" w:rsidP="001F71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MT Lt">
    <w:altName w:val="Courier New"/>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3" w:rsidRDefault="009830F2" w:rsidP="001F7178">
    <w:pPr>
      <w:pStyle w:val="Footer"/>
      <w:framePr w:wrap="around" w:vAnchor="text" w:hAnchor="margin" w:xAlign="right" w:y="1"/>
      <w:rPr>
        <w:rStyle w:val="PageNumber"/>
      </w:rPr>
    </w:pPr>
    <w:r>
      <w:rPr>
        <w:rStyle w:val="PageNumber"/>
      </w:rPr>
      <w:fldChar w:fldCharType="begin"/>
    </w:r>
    <w:r w:rsidR="008C5FE3">
      <w:rPr>
        <w:rStyle w:val="PageNumber"/>
      </w:rPr>
      <w:instrText xml:space="preserve">PAGE  </w:instrText>
    </w:r>
    <w:r>
      <w:rPr>
        <w:rStyle w:val="PageNumber"/>
      </w:rPr>
      <w:fldChar w:fldCharType="end"/>
    </w:r>
  </w:p>
  <w:p w:rsidR="008C5FE3" w:rsidRDefault="008C5FE3" w:rsidP="001F71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3" w:rsidRDefault="009830F2" w:rsidP="001F7178">
    <w:pPr>
      <w:pStyle w:val="Footer"/>
      <w:framePr w:wrap="around" w:vAnchor="text" w:hAnchor="margin" w:xAlign="right" w:y="1"/>
      <w:rPr>
        <w:rStyle w:val="PageNumber"/>
      </w:rPr>
    </w:pPr>
    <w:r>
      <w:rPr>
        <w:rStyle w:val="PageNumber"/>
      </w:rPr>
      <w:fldChar w:fldCharType="begin"/>
    </w:r>
    <w:r w:rsidR="008C5FE3">
      <w:rPr>
        <w:rStyle w:val="PageNumber"/>
      </w:rPr>
      <w:instrText xml:space="preserve">PAGE  </w:instrText>
    </w:r>
    <w:r>
      <w:rPr>
        <w:rStyle w:val="PageNumber"/>
      </w:rPr>
      <w:fldChar w:fldCharType="separate"/>
    </w:r>
    <w:r w:rsidR="00376746">
      <w:rPr>
        <w:rStyle w:val="PageNumber"/>
        <w:noProof/>
      </w:rPr>
      <w:t>2</w:t>
    </w:r>
    <w:r>
      <w:rPr>
        <w:rStyle w:val="PageNumber"/>
      </w:rPr>
      <w:fldChar w:fldCharType="end"/>
    </w:r>
  </w:p>
  <w:p w:rsidR="008C5FE3" w:rsidRPr="00D638E0" w:rsidRDefault="008C5FE3" w:rsidP="001F7178">
    <w:pPr>
      <w:pStyle w:val="AHPRAbody"/>
      <w:spacing w:after="100"/>
      <w:ind w:right="360"/>
      <w:jc w:val="center"/>
      <w:rPr>
        <w:rFonts w:ascii="Arial" w:hAnsi="Arial" w:cs="Arial"/>
        <w:b/>
        <w:bCs/>
        <w:color w:val="008EC4"/>
      </w:rPr>
    </w:pPr>
    <w:r w:rsidRPr="00D638E0">
      <w:rPr>
        <w:rFonts w:ascii="Arial" w:hAnsi="Arial" w:cs="Arial"/>
        <w:b/>
        <w:bCs/>
        <w:color w:val="424342"/>
      </w:rPr>
      <w:t>Australian</w:t>
    </w:r>
    <w:r w:rsidRPr="00D638E0">
      <w:rPr>
        <w:rFonts w:ascii="Arial" w:hAnsi="Arial" w:cs="Arial"/>
        <w:b/>
        <w:bCs/>
        <w:color w:val="008EC4"/>
      </w:rPr>
      <w:t xml:space="preserve"> Health Practitioner </w:t>
    </w:r>
    <w:r w:rsidRPr="00D638E0">
      <w:rPr>
        <w:rFonts w:ascii="Arial" w:hAnsi="Arial" w:cs="Arial"/>
        <w:b/>
        <w:bCs/>
        <w:color w:val="424342"/>
      </w:rPr>
      <w:t>Regulation Agency</w:t>
    </w:r>
  </w:p>
  <w:p w:rsidR="008C5FE3" w:rsidRPr="00D638E0" w:rsidRDefault="008C5FE3" w:rsidP="001F7178">
    <w:pPr>
      <w:pStyle w:val="AHPRAbody"/>
      <w:tabs>
        <w:tab w:val="center" w:pos="4749"/>
      </w:tabs>
      <w:rPr>
        <w:rFonts w:ascii="Arial" w:hAnsi="Arial" w:cs="Arial"/>
      </w:rPr>
    </w:pPr>
    <w:r w:rsidRPr="00D638E0">
      <w:rPr>
        <w:rFonts w:ascii="Arial" w:hAnsi="Arial" w:cs="Arial"/>
      </w:rPr>
      <w:tab/>
      <w:t xml:space="preserve">G.P.O. </w:t>
    </w:r>
    <w:smartTag w:uri="urn:schemas-microsoft-com:office:smarttags" w:element="address">
      <w:smartTag w:uri="urn:schemas-microsoft-com:office:smarttags" w:element="Street">
        <w:r w:rsidRPr="00D638E0">
          <w:rPr>
            <w:rFonts w:ascii="Arial" w:hAnsi="Arial" w:cs="Arial"/>
          </w:rPr>
          <w:t>Box</w:t>
        </w:r>
      </w:smartTag>
      <w:r w:rsidRPr="00D638E0">
        <w:rPr>
          <w:rFonts w:ascii="Arial" w:hAnsi="Arial" w:cs="Arial"/>
        </w:rPr>
        <w:t xml:space="preserve"> </w:t>
      </w:r>
      <w:r>
        <w:rPr>
          <w:rFonts w:ascii="Arial" w:hAnsi="Arial" w:cs="Arial"/>
        </w:rPr>
        <w:t>9958</w:t>
      </w:r>
    </w:smartTag>
    <w:r w:rsidRPr="00D638E0">
      <w:rPr>
        <w:rFonts w:ascii="Arial" w:hAnsi="Arial" w:cs="Arial"/>
      </w:rPr>
      <w:t xml:space="preserve">   </w:t>
    </w:r>
    <w:r w:rsidRPr="00D638E0">
      <w:rPr>
        <w:rFonts w:ascii="Arial" w:hAnsi="Arial" w:cs="Arial"/>
        <w:b/>
        <w:bCs/>
        <w:color w:val="008EC4"/>
        <w:sz w:val="24"/>
        <w:szCs w:val="24"/>
      </w:rPr>
      <w:t>|</w:t>
    </w:r>
    <w:r w:rsidRPr="00D638E0">
      <w:rPr>
        <w:rFonts w:ascii="Arial" w:hAnsi="Arial" w:cs="Arial"/>
      </w:rPr>
      <w:t xml:space="preserve">   Melbourne VIC 3001   </w:t>
    </w:r>
    <w:r w:rsidRPr="00D638E0">
      <w:rPr>
        <w:rFonts w:ascii="Arial" w:hAnsi="Arial" w:cs="Arial"/>
        <w:b/>
        <w:bCs/>
        <w:color w:val="008EC4"/>
        <w:sz w:val="24"/>
        <w:szCs w:val="24"/>
      </w:rPr>
      <w:t>|</w:t>
    </w:r>
    <w:r w:rsidRPr="00D638E0">
      <w:rPr>
        <w:rFonts w:ascii="Arial" w:hAnsi="Arial" w:cs="Arial"/>
      </w:rPr>
      <w:t xml:space="preserve">   www.ahpra.gov.au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3" w:rsidRDefault="008C5FE3">
    <w:pPr>
      <w:pStyle w:val="Footer"/>
      <w:jc w:val="right"/>
    </w:pPr>
  </w:p>
  <w:p w:rsidR="008C5FE3" w:rsidRPr="00D638E0" w:rsidRDefault="008C5FE3" w:rsidP="005214A0">
    <w:pPr>
      <w:pStyle w:val="AHPRAbody"/>
      <w:spacing w:after="100"/>
      <w:ind w:right="360"/>
      <w:jc w:val="center"/>
      <w:rPr>
        <w:rFonts w:ascii="Arial" w:hAnsi="Arial" w:cs="Arial"/>
        <w:b/>
        <w:bCs/>
        <w:color w:val="008EC4"/>
      </w:rPr>
    </w:pPr>
    <w:r w:rsidRPr="00D638E0">
      <w:rPr>
        <w:rFonts w:ascii="Arial" w:hAnsi="Arial" w:cs="Arial"/>
        <w:b/>
        <w:bCs/>
        <w:color w:val="424342"/>
      </w:rPr>
      <w:t>Australian</w:t>
    </w:r>
    <w:r w:rsidRPr="00D638E0">
      <w:rPr>
        <w:rFonts w:ascii="Arial" w:hAnsi="Arial" w:cs="Arial"/>
        <w:b/>
        <w:bCs/>
        <w:color w:val="008EC4"/>
      </w:rPr>
      <w:t xml:space="preserve"> Health Practitioner </w:t>
    </w:r>
    <w:r w:rsidRPr="00D638E0">
      <w:rPr>
        <w:rFonts w:ascii="Arial" w:hAnsi="Arial" w:cs="Arial"/>
        <w:b/>
        <w:bCs/>
        <w:color w:val="424342"/>
      </w:rPr>
      <w:t>Regulation Agency</w:t>
    </w:r>
  </w:p>
  <w:p w:rsidR="008C5FE3" w:rsidRPr="00D638E0" w:rsidRDefault="008C5FE3" w:rsidP="005214A0">
    <w:pPr>
      <w:pStyle w:val="AHPRAbody"/>
      <w:tabs>
        <w:tab w:val="center" w:pos="4749"/>
      </w:tabs>
      <w:rPr>
        <w:rFonts w:ascii="Arial" w:hAnsi="Arial" w:cs="Arial"/>
      </w:rPr>
    </w:pPr>
    <w:r w:rsidRPr="00D638E0">
      <w:rPr>
        <w:rFonts w:ascii="Arial" w:hAnsi="Arial" w:cs="Arial"/>
      </w:rPr>
      <w:tab/>
      <w:t xml:space="preserve">G.P.O. </w:t>
    </w:r>
    <w:smartTag w:uri="urn:schemas-microsoft-com:office:smarttags" w:element="address">
      <w:smartTag w:uri="urn:schemas-microsoft-com:office:smarttags" w:element="Street">
        <w:r w:rsidRPr="00D638E0">
          <w:rPr>
            <w:rFonts w:ascii="Arial" w:hAnsi="Arial" w:cs="Arial"/>
          </w:rPr>
          <w:t>Box</w:t>
        </w:r>
      </w:smartTag>
      <w:r w:rsidRPr="00D638E0">
        <w:rPr>
          <w:rFonts w:ascii="Arial" w:hAnsi="Arial" w:cs="Arial"/>
        </w:rPr>
        <w:t xml:space="preserve"> </w:t>
      </w:r>
      <w:r>
        <w:rPr>
          <w:rFonts w:ascii="Arial" w:hAnsi="Arial" w:cs="Arial"/>
        </w:rPr>
        <w:t>9958</w:t>
      </w:r>
    </w:smartTag>
    <w:r w:rsidRPr="00D638E0">
      <w:rPr>
        <w:rFonts w:ascii="Arial" w:hAnsi="Arial" w:cs="Arial"/>
      </w:rPr>
      <w:t xml:space="preserve">   </w:t>
    </w:r>
    <w:r w:rsidRPr="00D638E0">
      <w:rPr>
        <w:rFonts w:ascii="Arial" w:hAnsi="Arial" w:cs="Arial"/>
        <w:b/>
        <w:bCs/>
        <w:color w:val="008EC4"/>
        <w:sz w:val="24"/>
        <w:szCs w:val="24"/>
      </w:rPr>
      <w:t>|</w:t>
    </w:r>
    <w:r w:rsidRPr="00D638E0">
      <w:rPr>
        <w:rFonts w:ascii="Arial" w:hAnsi="Arial" w:cs="Arial"/>
      </w:rPr>
      <w:t xml:space="preserve">   Melbourne VIC 3001   </w:t>
    </w:r>
    <w:r w:rsidRPr="00D638E0">
      <w:rPr>
        <w:rFonts w:ascii="Arial" w:hAnsi="Arial" w:cs="Arial"/>
        <w:b/>
        <w:bCs/>
        <w:color w:val="008EC4"/>
        <w:sz w:val="24"/>
        <w:szCs w:val="24"/>
      </w:rPr>
      <w:t>|</w:t>
    </w:r>
    <w:r w:rsidRPr="00D638E0">
      <w:rPr>
        <w:rFonts w:ascii="Arial" w:hAnsi="Arial" w:cs="Arial"/>
      </w:rPr>
      <w:t xml:space="preserve">   www.ahpra.gov.au</w:t>
    </w:r>
  </w:p>
  <w:p w:rsidR="008C5FE3" w:rsidRPr="00AD312E" w:rsidRDefault="008C5FE3" w:rsidP="001F7178">
    <w:pPr>
      <w:pStyle w:val="AHPRAbody"/>
      <w:tabs>
        <w:tab w:val="center" w:pos="4749"/>
      </w:tabs>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E3" w:rsidRDefault="008C5FE3" w:rsidP="001F7178">
      <w:pPr>
        <w:spacing w:after="0"/>
      </w:pPr>
      <w:r>
        <w:separator/>
      </w:r>
    </w:p>
  </w:footnote>
  <w:footnote w:type="continuationSeparator" w:id="0">
    <w:p w:rsidR="008C5FE3" w:rsidRDefault="008C5FE3" w:rsidP="001F71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3" w:rsidRPr="00315933" w:rsidRDefault="008C5FE3" w:rsidP="001F7178">
    <w:pPr>
      <w:pStyle w:val="Heade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3" w:rsidRDefault="008C5FE3">
    <w:pPr>
      <w:pStyle w:val="Header"/>
    </w:pPr>
  </w:p>
  <w:p w:rsidR="008C5FE3" w:rsidRDefault="0042261A" w:rsidP="001F7178">
    <w:pPr>
      <w:pStyle w:val="Header"/>
      <w:ind w:left="-1134"/>
      <w:jc w:val="right"/>
    </w:pPr>
    <w:r>
      <w:rPr>
        <w:noProof/>
        <w:lang w:val="en-US"/>
      </w:rPr>
      <w:drawing>
        <wp:inline distT="0" distB="0" distL="0" distR="0">
          <wp:extent cx="1816100" cy="1898650"/>
          <wp:effectExtent l="19050" t="0" r="0" b="0"/>
          <wp:docPr id="1"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816100" cy="1898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83A"/>
    <w:multiLevelType w:val="hybridMultilevel"/>
    <w:tmpl w:val="2ACAD82C"/>
    <w:lvl w:ilvl="0" w:tplc="8FFE9F70">
      <w:start w:val="5"/>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nsid w:val="0795010E"/>
    <w:multiLevelType w:val="hybridMultilevel"/>
    <w:tmpl w:val="2B34F8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nsid w:val="0A3F42D5"/>
    <w:multiLevelType w:val="hybridMultilevel"/>
    <w:tmpl w:val="3C3E63DE"/>
    <w:lvl w:ilvl="0" w:tplc="0C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8D71A10"/>
    <w:multiLevelType w:val="multilevel"/>
    <w:tmpl w:val="B4CA2EF2"/>
    <w:lvl w:ilvl="0">
      <w:start w:val="1"/>
      <w:numFmt w:val="bullet"/>
      <w:lvlText w:val=""/>
      <w:lvlJc w:val="left"/>
      <w:pPr>
        <w:ind w:left="1288" w:hanging="360"/>
      </w:pPr>
      <w:rPr>
        <w:rFonts w:ascii="Symbol" w:hAnsi="Symbol" w:cs="Symbol" w:hint="default"/>
      </w:rPr>
    </w:lvl>
    <w:lvl w:ilvl="1">
      <w:start w:val="1"/>
      <w:numFmt w:val="bullet"/>
      <w:lvlText w:val="o"/>
      <w:lvlJc w:val="left"/>
      <w:pPr>
        <w:ind w:left="2008" w:hanging="360"/>
      </w:pPr>
      <w:rPr>
        <w:rFonts w:ascii="Courier" w:hAnsi="Courier" w:cs="Courier" w:hint="default"/>
      </w:rPr>
    </w:lvl>
    <w:lvl w:ilvl="2">
      <w:start w:val="1"/>
      <w:numFmt w:val="bullet"/>
      <w:lvlText w:val=""/>
      <w:lvlJc w:val="left"/>
      <w:pPr>
        <w:ind w:left="2728" w:hanging="360"/>
      </w:pPr>
      <w:rPr>
        <w:rFonts w:ascii="Symbol" w:hAnsi="Symbol" w:cs="Symbol"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w:hAnsi="Courier" w:cs="Courier" w:hint="default"/>
      </w:rPr>
    </w:lvl>
    <w:lvl w:ilvl="5">
      <w:start w:val="1"/>
      <w:numFmt w:val="bullet"/>
      <w:lvlText w:val=""/>
      <w:lvlJc w:val="left"/>
      <w:pPr>
        <w:ind w:left="4888" w:hanging="360"/>
      </w:pPr>
      <w:rPr>
        <w:rFonts w:ascii="Symbol" w:hAnsi="Symbol" w:cs="Symbol"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w:hAnsi="Courier" w:cs="Courier" w:hint="default"/>
      </w:rPr>
    </w:lvl>
    <w:lvl w:ilvl="8">
      <w:start w:val="1"/>
      <w:numFmt w:val="bullet"/>
      <w:lvlText w:val=""/>
      <w:lvlJc w:val="left"/>
      <w:pPr>
        <w:ind w:left="7048" w:hanging="360"/>
      </w:pPr>
      <w:rPr>
        <w:rFonts w:ascii="Symbol" w:hAnsi="Symbol" w:cs="Symbol" w:hint="default"/>
      </w:rPr>
    </w:lvl>
  </w:abstractNum>
  <w:abstractNum w:abstractNumId="4">
    <w:nsid w:val="1F5A0185"/>
    <w:multiLevelType w:val="hybridMultilevel"/>
    <w:tmpl w:val="14067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8A78A2"/>
    <w:multiLevelType w:val="hybridMultilevel"/>
    <w:tmpl w:val="95CA0394"/>
    <w:lvl w:ilvl="0" w:tplc="7F6CEC96">
      <w:start w:val="2"/>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84C2CEC"/>
    <w:multiLevelType w:val="hybridMultilevel"/>
    <w:tmpl w:val="2F52D97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2BD533CF"/>
    <w:multiLevelType w:val="hybridMultilevel"/>
    <w:tmpl w:val="B90C76E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nsid w:val="2EDF674D"/>
    <w:multiLevelType w:val="hybridMultilevel"/>
    <w:tmpl w:val="9AA6438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nsid w:val="32ED64FC"/>
    <w:multiLevelType w:val="hybridMultilevel"/>
    <w:tmpl w:val="C5725966"/>
    <w:lvl w:ilvl="0" w:tplc="04090005">
      <w:start w:val="1"/>
      <w:numFmt w:val="bullet"/>
      <w:lvlText w:val=""/>
      <w:lvlJc w:val="left"/>
      <w:pPr>
        <w:ind w:left="1778" w:hanging="360"/>
      </w:pPr>
      <w:rPr>
        <w:rFonts w:ascii="Wingdings" w:hAnsi="Wingdings" w:cs="Wingdings"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cs="Wingdings" w:hint="default"/>
      </w:rPr>
    </w:lvl>
    <w:lvl w:ilvl="3" w:tplc="04090001" w:tentative="1">
      <w:start w:val="1"/>
      <w:numFmt w:val="bullet"/>
      <w:lvlText w:val=""/>
      <w:lvlJc w:val="left"/>
      <w:pPr>
        <w:ind w:left="3938" w:hanging="360"/>
      </w:pPr>
      <w:rPr>
        <w:rFonts w:ascii="Symbol" w:hAnsi="Symbol" w:cs="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cs="Wingdings" w:hint="default"/>
      </w:rPr>
    </w:lvl>
    <w:lvl w:ilvl="6" w:tplc="04090001" w:tentative="1">
      <w:start w:val="1"/>
      <w:numFmt w:val="bullet"/>
      <w:lvlText w:val=""/>
      <w:lvlJc w:val="left"/>
      <w:pPr>
        <w:ind w:left="6098" w:hanging="360"/>
      </w:pPr>
      <w:rPr>
        <w:rFonts w:ascii="Symbol" w:hAnsi="Symbol" w:cs="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cs="Wingdings" w:hint="default"/>
      </w:rPr>
    </w:lvl>
  </w:abstractNum>
  <w:abstractNum w:abstractNumId="10">
    <w:nsid w:val="339D5A47"/>
    <w:multiLevelType w:val="hybridMultilevel"/>
    <w:tmpl w:val="4EBA9C82"/>
    <w:lvl w:ilvl="0" w:tplc="30E07B36">
      <w:start w:val="1"/>
      <w:numFmt w:val="bullet"/>
      <w:lvlText w:val=""/>
      <w:lvlJc w:val="left"/>
      <w:pPr>
        <w:tabs>
          <w:tab w:val="num" w:pos="360"/>
        </w:tabs>
        <w:ind w:left="360" w:hanging="360"/>
      </w:pPr>
      <w:rPr>
        <w:rFonts w:ascii="Symbol" w:hAnsi="Symbol" w:cs="Symbol" w:hint="default"/>
        <w:sz w:val="28"/>
        <w:szCs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11">
    <w:nsid w:val="3A9A65BC"/>
    <w:multiLevelType w:val="hybridMultilevel"/>
    <w:tmpl w:val="4EBA9C82"/>
    <w:lvl w:ilvl="0" w:tplc="30E07B36">
      <w:start w:val="1"/>
      <w:numFmt w:val="bullet"/>
      <w:lvlText w:val="–"/>
      <w:lvlJc w:val="left"/>
      <w:pPr>
        <w:tabs>
          <w:tab w:val="num" w:pos="360"/>
        </w:tabs>
        <w:ind w:left="360" w:hanging="360"/>
      </w:pPr>
      <w:rPr>
        <w:rFonts w:ascii="Arial"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12">
    <w:nsid w:val="3B2954E5"/>
    <w:multiLevelType w:val="hybridMultilevel"/>
    <w:tmpl w:val="4E36D1BE"/>
    <w:lvl w:ilvl="0" w:tplc="04E2A806">
      <w:numFmt w:val="bullet"/>
      <w:lvlText w:val="•"/>
      <w:lvlJc w:val="left"/>
      <w:pPr>
        <w:ind w:left="720" w:hanging="72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3">
    <w:nsid w:val="3CFD74EA"/>
    <w:multiLevelType w:val="hybridMultilevel"/>
    <w:tmpl w:val="14067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D6E6992"/>
    <w:multiLevelType w:val="hybridMultilevel"/>
    <w:tmpl w:val="AE78D5FA"/>
    <w:lvl w:ilvl="0" w:tplc="04E2A806">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nsid w:val="408865D5"/>
    <w:multiLevelType w:val="hybridMultilevel"/>
    <w:tmpl w:val="C2D60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422DCE"/>
    <w:multiLevelType w:val="hybridMultilevel"/>
    <w:tmpl w:val="1A161C9E"/>
    <w:lvl w:ilvl="0" w:tplc="04E2A806">
      <w:numFmt w:val="bullet"/>
      <w:lvlText w:val="•"/>
      <w:lvlJc w:val="left"/>
      <w:pPr>
        <w:ind w:left="1080" w:hanging="720"/>
      </w:pPr>
      <w:rPr>
        <w:rFonts w:ascii="Arial" w:eastAsia="Times New Roman"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nsid w:val="45150377"/>
    <w:multiLevelType w:val="hybridMultilevel"/>
    <w:tmpl w:val="12A003F6"/>
    <w:lvl w:ilvl="0" w:tplc="0C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84A0A"/>
    <w:multiLevelType w:val="hybridMultilevel"/>
    <w:tmpl w:val="59F0A308"/>
    <w:lvl w:ilvl="0" w:tplc="04E2A806">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cs="Symbol" w:hint="default"/>
      </w:rPr>
    </w:lvl>
    <w:lvl w:ilvl="1" w:tplc="04090003" w:tentative="1">
      <w:start w:val="1"/>
      <w:numFmt w:val="bullet"/>
      <w:lvlText w:val="o"/>
      <w:lvlJc w:val="left"/>
      <w:pPr>
        <w:ind w:left="1440" w:hanging="360"/>
      </w:pPr>
      <w:rPr>
        <w:rFonts w:ascii="Courier" w:hAnsi="Courier" w:cs="Courier" w:hint="default"/>
      </w:rPr>
    </w:lvl>
    <w:lvl w:ilvl="2" w:tplc="04090005" w:tentative="1">
      <w:start w:val="1"/>
      <w:numFmt w:val="bullet"/>
      <w:lvlText w:val=""/>
      <w:lvlJc w:val="left"/>
      <w:pPr>
        <w:ind w:left="2160" w:hanging="360"/>
      </w:pPr>
      <w:rPr>
        <w:rFonts w:ascii="Symbol" w:hAnsi="Symbol" w:cs="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w:hAnsi="Courier" w:cs="Courier" w:hint="default"/>
      </w:rPr>
    </w:lvl>
    <w:lvl w:ilvl="5" w:tplc="04090005" w:tentative="1">
      <w:start w:val="1"/>
      <w:numFmt w:val="bullet"/>
      <w:lvlText w:val=""/>
      <w:lvlJc w:val="left"/>
      <w:pPr>
        <w:ind w:left="4320" w:hanging="360"/>
      </w:pPr>
      <w:rPr>
        <w:rFonts w:ascii="Symbol" w:hAnsi="Symbol" w:cs="Symbol"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w:hAnsi="Courier" w:cs="Courier" w:hint="default"/>
      </w:rPr>
    </w:lvl>
    <w:lvl w:ilvl="8" w:tplc="04090005" w:tentative="1">
      <w:start w:val="1"/>
      <w:numFmt w:val="bullet"/>
      <w:lvlText w:val=""/>
      <w:lvlJc w:val="left"/>
      <w:pPr>
        <w:ind w:left="6480" w:hanging="360"/>
      </w:pPr>
      <w:rPr>
        <w:rFonts w:ascii="Symbol" w:hAnsi="Symbol" w:cs="Symbol" w:hint="default"/>
      </w:rPr>
    </w:lvl>
  </w:abstractNum>
  <w:abstractNum w:abstractNumId="21">
    <w:nsid w:val="58A86602"/>
    <w:multiLevelType w:val="hybridMultilevel"/>
    <w:tmpl w:val="395CF1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nsid w:val="60A20048"/>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cs="Courier" w:hint="default"/>
      </w:rPr>
    </w:lvl>
    <w:lvl w:ilvl="2">
      <w:start w:val="1"/>
      <w:numFmt w:val="bullet"/>
      <w:lvlText w:val=""/>
      <w:lvlJc w:val="left"/>
      <w:pPr>
        <w:ind w:left="2728" w:hanging="360"/>
      </w:pPr>
      <w:rPr>
        <w:rFonts w:ascii="Symbol" w:hAnsi="Symbol" w:cs="Symbol"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w:hAnsi="Courier" w:cs="Courier" w:hint="default"/>
      </w:rPr>
    </w:lvl>
    <w:lvl w:ilvl="5">
      <w:start w:val="1"/>
      <w:numFmt w:val="bullet"/>
      <w:lvlText w:val=""/>
      <w:lvlJc w:val="left"/>
      <w:pPr>
        <w:ind w:left="4888" w:hanging="360"/>
      </w:pPr>
      <w:rPr>
        <w:rFonts w:ascii="Symbol" w:hAnsi="Symbol" w:cs="Symbol"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w:hAnsi="Courier" w:cs="Courier" w:hint="default"/>
      </w:rPr>
    </w:lvl>
    <w:lvl w:ilvl="8">
      <w:start w:val="1"/>
      <w:numFmt w:val="bullet"/>
      <w:lvlText w:val=""/>
      <w:lvlJc w:val="left"/>
      <w:pPr>
        <w:ind w:left="7048" w:hanging="360"/>
      </w:pPr>
      <w:rPr>
        <w:rFonts w:ascii="Symbol" w:hAnsi="Symbol" w:cs="Symbol" w:hint="default"/>
      </w:rPr>
    </w:lvl>
  </w:abstractNum>
  <w:abstractNum w:abstractNumId="23">
    <w:nsid w:val="61A96DE3"/>
    <w:multiLevelType w:val="hybridMultilevel"/>
    <w:tmpl w:val="5A84D192"/>
    <w:lvl w:ilvl="0" w:tplc="F15624CE">
      <w:start w:val="5"/>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cs="Courier" w:hint="default"/>
      </w:rPr>
    </w:lvl>
    <w:lvl w:ilvl="2" w:tplc="04090005" w:tentative="1">
      <w:start w:val="1"/>
      <w:numFmt w:val="bullet"/>
      <w:lvlText w:val=""/>
      <w:lvlJc w:val="left"/>
      <w:pPr>
        <w:ind w:left="2728" w:hanging="360"/>
      </w:pPr>
      <w:rPr>
        <w:rFonts w:ascii="Symbol" w:hAnsi="Symbol" w:cs="Symbol" w:hint="default"/>
      </w:rPr>
    </w:lvl>
    <w:lvl w:ilvl="3" w:tplc="04090001" w:tentative="1">
      <w:start w:val="1"/>
      <w:numFmt w:val="bullet"/>
      <w:lvlText w:val=""/>
      <w:lvlJc w:val="left"/>
      <w:pPr>
        <w:ind w:left="3448" w:hanging="360"/>
      </w:pPr>
      <w:rPr>
        <w:rFonts w:ascii="Symbol" w:hAnsi="Symbol" w:cs="Symbol" w:hint="default"/>
      </w:rPr>
    </w:lvl>
    <w:lvl w:ilvl="4" w:tplc="04090003" w:tentative="1">
      <w:start w:val="1"/>
      <w:numFmt w:val="bullet"/>
      <w:lvlText w:val="o"/>
      <w:lvlJc w:val="left"/>
      <w:pPr>
        <w:ind w:left="4168" w:hanging="360"/>
      </w:pPr>
      <w:rPr>
        <w:rFonts w:ascii="Courier" w:hAnsi="Courier" w:cs="Courier" w:hint="default"/>
      </w:rPr>
    </w:lvl>
    <w:lvl w:ilvl="5" w:tplc="04090005" w:tentative="1">
      <w:start w:val="1"/>
      <w:numFmt w:val="bullet"/>
      <w:lvlText w:val=""/>
      <w:lvlJc w:val="left"/>
      <w:pPr>
        <w:ind w:left="4888" w:hanging="360"/>
      </w:pPr>
      <w:rPr>
        <w:rFonts w:ascii="Symbol" w:hAnsi="Symbol" w:cs="Symbol" w:hint="default"/>
      </w:rPr>
    </w:lvl>
    <w:lvl w:ilvl="6" w:tplc="04090001" w:tentative="1">
      <w:start w:val="1"/>
      <w:numFmt w:val="bullet"/>
      <w:lvlText w:val=""/>
      <w:lvlJc w:val="left"/>
      <w:pPr>
        <w:ind w:left="5608" w:hanging="360"/>
      </w:pPr>
      <w:rPr>
        <w:rFonts w:ascii="Symbol" w:hAnsi="Symbol" w:cs="Symbol" w:hint="default"/>
      </w:rPr>
    </w:lvl>
    <w:lvl w:ilvl="7" w:tplc="04090003" w:tentative="1">
      <w:start w:val="1"/>
      <w:numFmt w:val="bullet"/>
      <w:lvlText w:val="o"/>
      <w:lvlJc w:val="left"/>
      <w:pPr>
        <w:ind w:left="6328" w:hanging="360"/>
      </w:pPr>
      <w:rPr>
        <w:rFonts w:ascii="Courier" w:hAnsi="Courier" w:cs="Courier" w:hint="default"/>
      </w:rPr>
    </w:lvl>
    <w:lvl w:ilvl="8" w:tplc="04090005" w:tentative="1">
      <w:start w:val="1"/>
      <w:numFmt w:val="bullet"/>
      <w:lvlText w:val=""/>
      <w:lvlJc w:val="left"/>
      <w:pPr>
        <w:ind w:left="7048" w:hanging="360"/>
      </w:pPr>
      <w:rPr>
        <w:rFonts w:ascii="Symbol" w:hAnsi="Symbol" w:cs="Symbol" w:hint="default"/>
      </w:rPr>
    </w:lvl>
  </w:abstractNum>
  <w:abstractNum w:abstractNumId="25">
    <w:nsid w:val="63D52428"/>
    <w:multiLevelType w:val="hybridMultilevel"/>
    <w:tmpl w:val="90382FA0"/>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6">
    <w:nsid w:val="6C803933"/>
    <w:multiLevelType w:val="hybridMultilevel"/>
    <w:tmpl w:val="44806AF4"/>
    <w:lvl w:ilvl="0" w:tplc="0C090001">
      <w:start w:val="1"/>
      <w:numFmt w:val="bullet"/>
      <w:lvlText w:val=""/>
      <w:lvlJc w:val="left"/>
      <w:pPr>
        <w:ind w:left="1440" w:hanging="72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7">
    <w:nsid w:val="6DCE5636"/>
    <w:multiLevelType w:val="hybridMultilevel"/>
    <w:tmpl w:val="33165EFA"/>
    <w:lvl w:ilvl="0" w:tplc="CD06DF5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FBE0BA4"/>
    <w:multiLevelType w:val="hybridMultilevel"/>
    <w:tmpl w:val="80D87338"/>
    <w:lvl w:ilvl="0" w:tplc="F84C312A">
      <w:start w:val="1"/>
      <w:numFmt w:val="decimal"/>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cs="Courier" w:hint="default"/>
      </w:rPr>
    </w:lvl>
    <w:lvl w:ilvl="2" w:tplc="04090005" w:tentative="1">
      <w:start w:val="1"/>
      <w:numFmt w:val="bullet"/>
      <w:lvlText w:val=""/>
      <w:lvlJc w:val="left"/>
      <w:pPr>
        <w:ind w:left="2728" w:hanging="360"/>
      </w:pPr>
      <w:rPr>
        <w:rFonts w:ascii="Symbol" w:hAnsi="Symbol" w:cs="Symbol" w:hint="default"/>
      </w:rPr>
    </w:lvl>
    <w:lvl w:ilvl="3" w:tplc="04090001" w:tentative="1">
      <w:start w:val="1"/>
      <w:numFmt w:val="bullet"/>
      <w:lvlText w:val=""/>
      <w:lvlJc w:val="left"/>
      <w:pPr>
        <w:ind w:left="3448" w:hanging="360"/>
      </w:pPr>
      <w:rPr>
        <w:rFonts w:ascii="Symbol" w:hAnsi="Symbol" w:cs="Symbol" w:hint="default"/>
      </w:rPr>
    </w:lvl>
    <w:lvl w:ilvl="4" w:tplc="04090003" w:tentative="1">
      <w:start w:val="1"/>
      <w:numFmt w:val="bullet"/>
      <w:lvlText w:val="o"/>
      <w:lvlJc w:val="left"/>
      <w:pPr>
        <w:ind w:left="4168" w:hanging="360"/>
      </w:pPr>
      <w:rPr>
        <w:rFonts w:ascii="Courier" w:hAnsi="Courier" w:cs="Courier" w:hint="default"/>
      </w:rPr>
    </w:lvl>
    <w:lvl w:ilvl="5" w:tplc="04090005" w:tentative="1">
      <w:start w:val="1"/>
      <w:numFmt w:val="bullet"/>
      <w:lvlText w:val=""/>
      <w:lvlJc w:val="left"/>
      <w:pPr>
        <w:ind w:left="4888" w:hanging="360"/>
      </w:pPr>
      <w:rPr>
        <w:rFonts w:ascii="Symbol" w:hAnsi="Symbol" w:cs="Symbol" w:hint="default"/>
      </w:rPr>
    </w:lvl>
    <w:lvl w:ilvl="6" w:tplc="04090001" w:tentative="1">
      <w:start w:val="1"/>
      <w:numFmt w:val="bullet"/>
      <w:lvlText w:val=""/>
      <w:lvlJc w:val="left"/>
      <w:pPr>
        <w:ind w:left="5608" w:hanging="360"/>
      </w:pPr>
      <w:rPr>
        <w:rFonts w:ascii="Symbol" w:hAnsi="Symbol" w:cs="Symbol" w:hint="default"/>
      </w:rPr>
    </w:lvl>
    <w:lvl w:ilvl="7" w:tplc="04090003" w:tentative="1">
      <w:start w:val="1"/>
      <w:numFmt w:val="bullet"/>
      <w:lvlText w:val="o"/>
      <w:lvlJc w:val="left"/>
      <w:pPr>
        <w:ind w:left="6328" w:hanging="360"/>
      </w:pPr>
      <w:rPr>
        <w:rFonts w:ascii="Courier" w:hAnsi="Courier" w:cs="Courier" w:hint="default"/>
      </w:rPr>
    </w:lvl>
    <w:lvl w:ilvl="8" w:tplc="04090005" w:tentative="1">
      <w:start w:val="1"/>
      <w:numFmt w:val="bullet"/>
      <w:lvlText w:val=""/>
      <w:lvlJc w:val="left"/>
      <w:pPr>
        <w:ind w:left="7048" w:hanging="360"/>
      </w:pPr>
      <w:rPr>
        <w:rFonts w:ascii="Symbol" w:hAnsi="Symbol" w:cs="Symbol" w:hint="default"/>
      </w:rPr>
    </w:lvl>
  </w:abstractNum>
  <w:abstractNum w:abstractNumId="29">
    <w:nsid w:val="71755C2C"/>
    <w:multiLevelType w:val="hybridMultilevel"/>
    <w:tmpl w:val="BD9A2EE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nsid w:val="731F2B5A"/>
    <w:multiLevelType w:val="multilevel"/>
    <w:tmpl w:val="A2C27982"/>
    <w:lvl w:ilvl="0">
      <w:start w:val="1"/>
      <w:numFmt w:val="decimal"/>
      <w:lvlText w:val="%1."/>
      <w:lvlJc w:val="left"/>
      <w:pPr>
        <w:tabs>
          <w:tab w:val="num" w:pos="284"/>
        </w:tabs>
        <w:ind w:left="284" w:hanging="284"/>
      </w:pPr>
      <w:rPr>
        <w:rFonts w:hint="default"/>
      </w:rPr>
    </w:lvl>
    <w:lvl w:ilvl="1">
      <w:start w:val="1"/>
      <w:numFmt w:val="bullet"/>
      <w:lvlText w:val="o"/>
      <w:lvlJc w:val="left"/>
      <w:pPr>
        <w:ind w:left="2008" w:hanging="360"/>
      </w:pPr>
      <w:rPr>
        <w:rFonts w:ascii="Courier" w:hAnsi="Courier" w:cs="Courier" w:hint="default"/>
      </w:rPr>
    </w:lvl>
    <w:lvl w:ilvl="2">
      <w:start w:val="1"/>
      <w:numFmt w:val="bullet"/>
      <w:lvlText w:val=""/>
      <w:lvlJc w:val="left"/>
      <w:pPr>
        <w:ind w:left="2728" w:hanging="360"/>
      </w:pPr>
      <w:rPr>
        <w:rFonts w:ascii="Symbol" w:hAnsi="Symbol" w:cs="Symbol"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w:hAnsi="Courier" w:cs="Courier" w:hint="default"/>
      </w:rPr>
    </w:lvl>
    <w:lvl w:ilvl="5">
      <w:start w:val="1"/>
      <w:numFmt w:val="bullet"/>
      <w:lvlText w:val=""/>
      <w:lvlJc w:val="left"/>
      <w:pPr>
        <w:ind w:left="4888" w:hanging="360"/>
      </w:pPr>
      <w:rPr>
        <w:rFonts w:ascii="Symbol" w:hAnsi="Symbol" w:cs="Symbol"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w:hAnsi="Courier" w:cs="Courier" w:hint="default"/>
      </w:rPr>
    </w:lvl>
    <w:lvl w:ilvl="8">
      <w:start w:val="1"/>
      <w:numFmt w:val="bullet"/>
      <w:lvlText w:val=""/>
      <w:lvlJc w:val="left"/>
      <w:pPr>
        <w:ind w:left="7048" w:hanging="360"/>
      </w:pPr>
      <w:rPr>
        <w:rFonts w:ascii="Symbol" w:hAnsi="Symbol" w:cs="Symbol" w:hint="default"/>
      </w:rPr>
    </w:lvl>
  </w:abstractNum>
  <w:abstractNum w:abstractNumId="31">
    <w:nsid w:val="76D470F6"/>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cs="Courier" w:hint="default"/>
      </w:rPr>
    </w:lvl>
    <w:lvl w:ilvl="2">
      <w:start w:val="1"/>
      <w:numFmt w:val="bullet"/>
      <w:lvlText w:val=""/>
      <w:lvlJc w:val="left"/>
      <w:pPr>
        <w:ind w:left="2728" w:hanging="360"/>
      </w:pPr>
      <w:rPr>
        <w:rFonts w:ascii="Symbol" w:hAnsi="Symbol" w:cs="Symbol"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w:hAnsi="Courier" w:cs="Courier" w:hint="default"/>
      </w:rPr>
    </w:lvl>
    <w:lvl w:ilvl="5">
      <w:start w:val="1"/>
      <w:numFmt w:val="bullet"/>
      <w:lvlText w:val=""/>
      <w:lvlJc w:val="left"/>
      <w:pPr>
        <w:ind w:left="4888" w:hanging="360"/>
      </w:pPr>
      <w:rPr>
        <w:rFonts w:ascii="Symbol" w:hAnsi="Symbol" w:cs="Symbol"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w:hAnsi="Courier" w:cs="Courier" w:hint="default"/>
      </w:rPr>
    </w:lvl>
    <w:lvl w:ilvl="8">
      <w:start w:val="1"/>
      <w:numFmt w:val="bullet"/>
      <w:lvlText w:val=""/>
      <w:lvlJc w:val="left"/>
      <w:pPr>
        <w:ind w:left="7048" w:hanging="360"/>
      </w:pPr>
      <w:rPr>
        <w:rFonts w:ascii="Symbol" w:hAnsi="Symbol" w:cs="Symbol" w:hint="default"/>
      </w:rPr>
    </w:lvl>
  </w:abstractNum>
  <w:abstractNum w:abstractNumId="32">
    <w:nsid w:val="76E875EE"/>
    <w:multiLevelType w:val="multilevel"/>
    <w:tmpl w:val="FEE42A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w:hAnsi="Courier" w:cs="Courier"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w:hAnsi="Courier" w:cs="Courier" w:hint="default"/>
      </w:rPr>
    </w:lvl>
    <w:lvl w:ilvl="5">
      <w:start w:val="1"/>
      <w:numFmt w:val="bullet"/>
      <w:lvlText w:val=""/>
      <w:lvlJc w:val="left"/>
      <w:pPr>
        <w:ind w:left="4320" w:hanging="36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w:hAnsi="Courier" w:cs="Courier" w:hint="default"/>
      </w:rPr>
    </w:lvl>
    <w:lvl w:ilvl="8">
      <w:start w:val="1"/>
      <w:numFmt w:val="bullet"/>
      <w:lvlText w:val=""/>
      <w:lvlJc w:val="left"/>
      <w:pPr>
        <w:ind w:left="6480" w:hanging="360"/>
      </w:pPr>
      <w:rPr>
        <w:rFonts w:ascii="Symbol" w:hAnsi="Symbol" w:cs="Symbol" w:hint="default"/>
      </w:rPr>
    </w:lvl>
  </w:abstractNum>
  <w:abstractNum w:abstractNumId="33">
    <w:nsid w:val="7CD70F53"/>
    <w:multiLevelType w:val="hybridMultilevel"/>
    <w:tmpl w:val="F1DE6664"/>
    <w:lvl w:ilvl="0" w:tplc="CD06DF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EEB5510"/>
    <w:multiLevelType w:val="hybridMultilevel"/>
    <w:tmpl w:val="1BD292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11"/>
  </w:num>
  <w:num w:numId="3">
    <w:abstractNumId w:val="34"/>
  </w:num>
  <w:num w:numId="4">
    <w:abstractNumId w:val="10"/>
  </w:num>
  <w:num w:numId="5">
    <w:abstractNumId w:val="28"/>
  </w:num>
  <w:num w:numId="6">
    <w:abstractNumId w:val="3"/>
  </w:num>
  <w:num w:numId="7">
    <w:abstractNumId w:val="20"/>
  </w:num>
  <w:num w:numId="8">
    <w:abstractNumId w:val="32"/>
  </w:num>
  <w:num w:numId="9">
    <w:abstractNumId w:val="31"/>
  </w:num>
  <w:num w:numId="10">
    <w:abstractNumId w:val="22"/>
  </w:num>
  <w:num w:numId="11">
    <w:abstractNumId w:val="30"/>
  </w:num>
  <w:num w:numId="12">
    <w:abstractNumId w:val="24"/>
  </w:num>
  <w:num w:numId="13">
    <w:abstractNumId w:val="7"/>
  </w:num>
  <w:num w:numId="14">
    <w:abstractNumId w:val="0"/>
  </w:num>
  <w:num w:numId="15">
    <w:abstractNumId w:val="23"/>
  </w:num>
  <w:num w:numId="16">
    <w:abstractNumId w:val="8"/>
  </w:num>
  <w:num w:numId="17">
    <w:abstractNumId w:val="1"/>
  </w:num>
  <w:num w:numId="18">
    <w:abstractNumId w:val="19"/>
  </w:num>
  <w:num w:numId="19">
    <w:abstractNumId w:val="16"/>
  </w:num>
  <w:num w:numId="20">
    <w:abstractNumId w:val="14"/>
  </w:num>
  <w:num w:numId="21">
    <w:abstractNumId w:val="12"/>
  </w:num>
  <w:num w:numId="22">
    <w:abstractNumId w:val="26"/>
  </w:num>
  <w:num w:numId="23">
    <w:abstractNumId w:val="15"/>
  </w:num>
  <w:num w:numId="24">
    <w:abstractNumId w:val="33"/>
  </w:num>
  <w:num w:numId="25">
    <w:abstractNumId w:val="27"/>
  </w:num>
  <w:num w:numId="26">
    <w:abstractNumId w:val="6"/>
  </w:num>
  <w:num w:numId="27">
    <w:abstractNumId w:val="5"/>
  </w:num>
  <w:num w:numId="28">
    <w:abstractNumId w:val="9"/>
  </w:num>
  <w:num w:numId="29">
    <w:abstractNumId w:val="17"/>
  </w:num>
  <w:num w:numId="30">
    <w:abstractNumId w:val="2"/>
  </w:num>
  <w:num w:numId="31">
    <w:abstractNumId w:val="21"/>
  </w:num>
  <w:num w:numId="32">
    <w:abstractNumId w:val="4"/>
  </w:num>
  <w:num w:numId="33">
    <w:abstractNumId w:val="13"/>
  </w:num>
  <w:num w:numId="34">
    <w:abstractNumId w:val="29"/>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efaultTabStop w:val="720"/>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860F40"/>
    <w:rsid w:val="00002CB8"/>
    <w:rsid w:val="000103D5"/>
    <w:rsid w:val="00013BF1"/>
    <w:rsid w:val="000168D9"/>
    <w:rsid w:val="00020F8B"/>
    <w:rsid w:val="00037298"/>
    <w:rsid w:val="00055AE0"/>
    <w:rsid w:val="00093404"/>
    <w:rsid w:val="000C0EE4"/>
    <w:rsid w:val="000E5E92"/>
    <w:rsid w:val="000F25CC"/>
    <w:rsid w:val="0011026F"/>
    <w:rsid w:val="00133664"/>
    <w:rsid w:val="00140B18"/>
    <w:rsid w:val="00141F13"/>
    <w:rsid w:val="00166436"/>
    <w:rsid w:val="001673C8"/>
    <w:rsid w:val="001A39C7"/>
    <w:rsid w:val="001E6874"/>
    <w:rsid w:val="001F7178"/>
    <w:rsid w:val="002261DE"/>
    <w:rsid w:val="00234100"/>
    <w:rsid w:val="0025768D"/>
    <w:rsid w:val="00262FDE"/>
    <w:rsid w:val="00270DDC"/>
    <w:rsid w:val="002C19B3"/>
    <w:rsid w:val="002E378F"/>
    <w:rsid w:val="00315933"/>
    <w:rsid w:val="00341C1B"/>
    <w:rsid w:val="00352E6A"/>
    <w:rsid w:val="003542C2"/>
    <w:rsid w:val="00376746"/>
    <w:rsid w:val="003975F4"/>
    <w:rsid w:val="003A053D"/>
    <w:rsid w:val="0042261A"/>
    <w:rsid w:val="0042745C"/>
    <w:rsid w:val="00436C98"/>
    <w:rsid w:val="004545AC"/>
    <w:rsid w:val="005105B9"/>
    <w:rsid w:val="005214A0"/>
    <w:rsid w:val="0054511E"/>
    <w:rsid w:val="0055177B"/>
    <w:rsid w:val="00552AB0"/>
    <w:rsid w:val="00555BD9"/>
    <w:rsid w:val="005637D0"/>
    <w:rsid w:val="00577361"/>
    <w:rsid w:val="00583EFF"/>
    <w:rsid w:val="005C1FEF"/>
    <w:rsid w:val="005D6DE7"/>
    <w:rsid w:val="005F3EDB"/>
    <w:rsid w:val="00607A71"/>
    <w:rsid w:val="006179C4"/>
    <w:rsid w:val="0062233C"/>
    <w:rsid w:val="006403AF"/>
    <w:rsid w:val="0069166E"/>
    <w:rsid w:val="006B214D"/>
    <w:rsid w:val="006E3698"/>
    <w:rsid w:val="00741B5D"/>
    <w:rsid w:val="007578FC"/>
    <w:rsid w:val="007715DD"/>
    <w:rsid w:val="00781150"/>
    <w:rsid w:val="00782659"/>
    <w:rsid w:val="0079735A"/>
    <w:rsid w:val="007F127D"/>
    <w:rsid w:val="007F7BD2"/>
    <w:rsid w:val="00804440"/>
    <w:rsid w:val="008316C0"/>
    <w:rsid w:val="00837BB0"/>
    <w:rsid w:val="00843DC0"/>
    <w:rsid w:val="00855259"/>
    <w:rsid w:val="00860F40"/>
    <w:rsid w:val="008B09FA"/>
    <w:rsid w:val="008C1766"/>
    <w:rsid w:val="008C5FE3"/>
    <w:rsid w:val="008E3F27"/>
    <w:rsid w:val="00903DAB"/>
    <w:rsid w:val="00952EAE"/>
    <w:rsid w:val="00974ECD"/>
    <w:rsid w:val="009830F2"/>
    <w:rsid w:val="009C44C7"/>
    <w:rsid w:val="009F7FB2"/>
    <w:rsid w:val="00A62A5E"/>
    <w:rsid w:val="00A97827"/>
    <w:rsid w:val="00AA5EE9"/>
    <w:rsid w:val="00AA65FB"/>
    <w:rsid w:val="00AB53B6"/>
    <w:rsid w:val="00AD312E"/>
    <w:rsid w:val="00AF209D"/>
    <w:rsid w:val="00B06E6A"/>
    <w:rsid w:val="00B10C03"/>
    <w:rsid w:val="00B1452F"/>
    <w:rsid w:val="00C26C3A"/>
    <w:rsid w:val="00C35DE1"/>
    <w:rsid w:val="00C415F0"/>
    <w:rsid w:val="00C531A6"/>
    <w:rsid w:val="00C61396"/>
    <w:rsid w:val="00C824E4"/>
    <w:rsid w:val="00C90C3A"/>
    <w:rsid w:val="00CE63F9"/>
    <w:rsid w:val="00D21461"/>
    <w:rsid w:val="00D57C3B"/>
    <w:rsid w:val="00D62F42"/>
    <w:rsid w:val="00D638E0"/>
    <w:rsid w:val="00DE79DE"/>
    <w:rsid w:val="00E02046"/>
    <w:rsid w:val="00E24B7F"/>
    <w:rsid w:val="00E4055F"/>
    <w:rsid w:val="00E61F40"/>
    <w:rsid w:val="00E6717B"/>
    <w:rsid w:val="00E841B7"/>
    <w:rsid w:val="00E8441A"/>
    <w:rsid w:val="00E86152"/>
    <w:rsid w:val="00E95143"/>
    <w:rsid w:val="00EB2FA6"/>
    <w:rsid w:val="00ED3453"/>
    <w:rsid w:val="00EE3029"/>
    <w:rsid w:val="00F0376D"/>
    <w:rsid w:val="00F06659"/>
    <w:rsid w:val="00F1045B"/>
    <w:rsid w:val="00F200C9"/>
    <w:rsid w:val="00F870F6"/>
    <w:rsid w:val="00FA2EC7"/>
    <w:rsid w:val="00FB582C"/>
    <w:rsid w:val="00FF553B"/>
    <w:rsid w:val="00FF7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DE"/>
    <w:pPr>
      <w:spacing w:after="200"/>
    </w:pPr>
    <w:rPr>
      <w:rFonts w:cs="Cambria"/>
      <w:sz w:val="24"/>
      <w:szCs w:val="24"/>
      <w:lang w:val="en-AU"/>
    </w:rPr>
  </w:style>
  <w:style w:type="paragraph" w:styleId="Heading1">
    <w:name w:val="heading 1"/>
    <w:basedOn w:val="Normal"/>
    <w:next w:val="Normal"/>
    <w:link w:val="Heading1Char"/>
    <w:uiPriority w:val="99"/>
    <w:qFormat/>
    <w:rsid w:val="0054511E"/>
    <w:pPr>
      <w:keepNext/>
      <w:keepLines/>
      <w:spacing w:before="480" w:after="0" w:line="276" w:lineRule="auto"/>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511E"/>
    <w:rPr>
      <w:rFonts w:eastAsia="Times New Roman"/>
      <w:b/>
      <w:bCs/>
      <w:color w:val="365F91"/>
      <w:sz w:val="28"/>
      <w:szCs w:val="28"/>
      <w:lang w:eastAsia="en-US"/>
    </w:rPr>
  </w:style>
  <w:style w:type="paragraph" w:styleId="BalloonText">
    <w:name w:val="Balloon Text"/>
    <w:basedOn w:val="Normal"/>
    <w:link w:val="BalloonTextChar1"/>
    <w:uiPriority w:val="99"/>
    <w:semiHidden/>
    <w:rsid w:val="00020F8B"/>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20F8B"/>
    <w:rPr>
      <w:rFonts w:ascii="Lucida Grande" w:hAnsi="Lucida Grande" w:cs="Lucida Grande"/>
      <w:sz w:val="18"/>
      <w:szCs w:val="18"/>
    </w:rPr>
  </w:style>
  <w:style w:type="character" w:customStyle="1" w:styleId="BalloonTextChar2">
    <w:name w:val="Balloon Text Char2"/>
    <w:basedOn w:val="DefaultParagraphFont"/>
    <w:uiPriority w:val="99"/>
    <w:semiHidden/>
    <w:rsid w:val="00020F8B"/>
    <w:rPr>
      <w:rFonts w:ascii="Lucida Grande" w:hAnsi="Lucida Grande" w:cs="Lucida Grande"/>
      <w:sz w:val="18"/>
      <w:szCs w:val="18"/>
    </w:rPr>
  </w:style>
  <w:style w:type="paragraph" w:styleId="Header">
    <w:name w:val="header"/>
    <w:basedOn w:val="Normal"/>
    <w:link w:val="HeaderChar"/>
    <w:uiPriority w:val="99"/>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uiPriority w:val="99"/>
    <w:rsid w:val="00020F8B"/>
    <w:rPr>
      <w:rFonts w:ascii="Arial MT Lt" w:hAnsi="Arial MT Lt" w:cs="Arial MT Lt"/>
      <w:sz w:val="20"/>
      <w:szCs w:val="20"/>
    </w:rPr>
  </w:style>
  <w:style w:type="paragraph" w:customStyle="1" w:styleId="AHPRAHeadline">
    <w:name w:val="AHPRA Headline"/>
    <w:basedOn w:val="Normal"/>
    <w:uiPriority w:val="99"/>
    <w:rsid w:val="00020F8B"/>
    <w:rPr>
      <w:rFonts w:ascii="Arial" w:hAnsi="Arial" w:cs="Arial"/>
      <w:color w:val="008EC4"/>
      <w:sz w:val="28"/>
      <w:szCs w:val="28"/>
    </w:rPr>
  </w:style>
  <w:style w:type="paragraph" w:customStyle="1" w:styleId="BasicParagraph">
    <w:name w:val="[Basic Paragraph]"/>
    <w:basedOn w:val="Normal"/>
    <w:uiPriority w:val="99"/>
    <w:rsid w:val="00020F8B"/>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uiPriority w:val="99"/>
    <w:rsid w:val="00020F8B"/>
    <w:rPr>
      <w:color w:val="0000FF"/>
      <w:u w:val="single"/>
    </w:rPr>
  </w:style>
  <w:style w:type="character" w:customStyle="1" w:styleId="BalloonTextChar1">
    <w:name w:val="Balloon Text Char1"/>
    <w:link w:val="BalloonText"/>
    <w:uiPriority w:val="99"/>
    <w:rsid w:val="00020F8B"/>
    <w:rPr>
      <w:rFonts w:ascii="Tahoma" w:hAnsi="Tahoma" w:cs="Tahoma"/>
      <w:sz w:val="16"/>
      <w:szCs w:val="16"/>
    </w:rPr>
  </w:style>
  <w:style w:type="character" w:styleId="CommentReference">
    <w:name w:val="annotation reference"/>
    <w:basedOn w:val="DefaultParagraphFont"/>
    <w:uiPriority w:val="99"/>
    <w:semiHidden/>
    <w:rsid w:val="00020F8B"/>
    <w:rPr>
      <w:sz w:val="16"/>
      <w:szCs w:val="16"/>
    </w:rPr>
  </w:style>
  <w:style w:type="paragraph" w:styleId="CommentText">
    <w:name w:val="annotation text"/>
    <w:basedOn w:val="Normal"/>
    <w:link w:val="CommentTextChar"/>
    <w:uiPriority w:val="99"/>
    <w:semiHidden/>
    <w:rsid w:val="00020F8B"/>
    <w:rPr>
      <w:sz w:val="20"/>
      <w:szCs w:val="20"/>
      <w:lang w:val="en-US"/>
    </w:rPr>
  </w:style>
  <w:style w:type="character" w:customStyle="1" w:styleId="CommentTextChar">
    <w:name w:val="Comment Text Char"/>
    <w:basedOn w:val="DefaultParagraphFont"/>
    <w:link w:val="CommentText"/>
    <w:uiPriority w:val="99"/>
    <w:rsid w:val="00020F8B"/>
    <w:rPr>
      <w:sz w:val="20"/>
      <w:szCs w:val="20"/>
    </w:rPr>
  </w:style>
  <w:style w:type="paragraph" w:styleId="CommentSubject">
    <w:name w:val="annotation subject"/>
    <w:basedOn w:val="CommentText"/>
    <w:next w:val="CommentText"/>
    <w:link w:val="CommentSubjectChar"/>
    <w:uiPriority w:val="99"/>
    <w:semiHidden/>
    <w:rsid w:val="00020F8B"/>
    <w:rPr>
      <w:b/>
      <w:bCs/>
    </w:rPr>
  </w:style>
  <w:style w:type="character" w:customStyle="1" w:styleId="CommentSubjectChar">
    <w:name w:val="Comment Subject Char"/>
    <w:basedOn w:val="CommentTextChar"/>
    <w:link w:val="CommentSubject"/>
    <w:uiPriority w:val="99"/>
    <w:rsid w:val="00020F8B"/>
    <w:rPr>
      <w:b/>
      <w:bCs/>
    </w:rPr>
  </w:style>
  <w:style w:type="character" w:styleId="PageNumber">
    <w:name w:val="page number"/>
    <w:basedOn w:val="DefaultParagraphFont"/>
    <w:uiPriority w:val="99"/>
    <w:rsid w:val="00020F8B"/>
  </w:style>
  <w:style w:type="paragraph" w:customStyle="1" w:styleId="AHPRASubhead">
    <w:name w:val="AHPRA Subhead"/>
    <w:basedOn w:val="Normal"/>
    <w:uiPriority w:val="99"/>
    <w:rsid w:val="00020F8B"/>
    <w:rPr>
      <w:rFonts w:ascii="Arial" w:hAnsi="Arial" w:cs="Arial"/>
      <w:b/>
      <w:bCs/>
      <w:color w:val="008EC4"/>
      <w:sz w:val="20"/>
      <w:szCs w:val="20"/>
    </w:rPr>
  </w:style>
  <w:style w:type="paragraph" w:customStyle="1" w:styleId="AHPRABulletText">
    <w:name w:val="AHPRA Bullet Text"/>
    <w:basedOn w:val="AHPRAbody"/>
    <w:next w:val="AHPRAbody"/>
    <w:uiPriority w:val="99"/>
    <w:rsid w:val="00020F8B"/>
    <w:pPr>
      <w:numPr>
        <w:numId w:val="7"/>
      </w:numPr>
    </w:pPr>
  </w:style>
  <w:style w:type="paragraph" w:customStyle="1" w:styleId="AHPRATitle">
    <w:name w:val="AHPRA Title"/>
    <w:basedOn w:val="Normal"/>
    <w:next w:val="AHPRAHeadline"/>
    <w:uiPriority w:val="99"/>
    <w:rsid w:val="00020F8B"/>
    <w:pPr>
      <w:outlineLvl w:val="0"/>
    </w:pPr>
    <w:rPr>
      <w:rFonts w:ascii="Arial" w:hAnsi="Arial" w:cs="Arial"/>
      <w:color w:val="808080"/>
      <w:sz w:val="44"/>
      <w:szCs w:val="44"/>
    </w:rPr>
  </w:style>
  <w:style w:type="paragraph" w:customStyle="1" w:styleId="AHPRANumberedText">
    <w:name w:val="AHPRA Numbered Text"/>
    <w:basedOn w:val="AHPRABulletText"/>
    <w:uiPriority w:val="99"/>
    <w:rsid w:val="00020F8B"/>
    <w:pPr>
      <w:numPr>
        <w:numId w:val="12"/>
      </w:numPr>
    </w:pPr>
  </w:style>
  <w:style w:type="character" w:styleId="FollowedHyperlink">
    <w:name w:val="FollowedHyperlink"/>
    <w:basedOn w:val="DefaultParagraphFont"/>
    <w:uiPriority w:val="99"/>
    <w:rsid w:val="00020F8B"/>
    <w:rPr>
      <w:color w:val="800080"/>
      <w:u w:val="single"/>
    </w:rPr>
  </w:style>
  <w:style w:type="paragraph" w:styleId="ListParagraph">
    <w:name w:val="List Paragraph"/>
    <w:basedOn w:val="Normal"/>
    <w:uiPriority w:val="99"/>
    <w:qFormat/>
    <w:rsid w:val="00E86152"/>
    <w:pPr>
      <w:ind w:left="720"/>
      <w:contextualSpacing/>
    </w:pPr>
  </w:style>
  <w:style w:type="table" w:styleId="TableGrid">
    <w:name w:val="Table Grid"/>
    <w:basedOn w:val="TableNormal"/>
    <w:uiPriority w:val="99"/>
    <w:rsid w:val="007F127D"/>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4511E"/>
    <w:pPr>
      <w:autoSpaceDE w:val="0"/>
      <w:autoSpaceDN w:val="0"/>
      <w:adjustRightInd w:val="0"/>
    </w:pPr>
    <w:rPr>
      <w:rFonts w:ascii="Arial" w:hAnsi="Arial" w:cs="Arial"/>
      <w:color w:val="000000"/>
      <w:sz w:val="24"/>
      <w:szCs w:val="24"/>
      <w:lang w:val="en-AU"/>
    </w:rPr>
  </w:style>
  <w:style w:type="character" w:customStyle="1" w:styleId="ft">
    <w:name w:val="ft"/>
    <w:basedOn w:val="DefaultParagraphFont"/>
    <w:uiPriority w:val="99"/>
    <w:rsid w:val="0054511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tajohnson\AppData\Local\Temp\Cherwell\www.osteopathyboard.gov.au\Codes-Guidelines.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hmrc.gov.au/_files_nhmrc/publications/attachments/cd33_complet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nesemedicineboard.gov.au/Codes-Guideline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1265</Words>
  <Characters>7433</Characters>
  <Application>Microsoft Office Word</Application>
  <DocSecurity>0</DocSecurity>
  <Lines>61</Lines>
  <Paragraphs>17</Paragraphs>
  <ScaleCrop>false</ScaleCrop>
  <Company>Johanna Villani Design</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dc:title>
  <dc:subject>FAQ</dc:subject>
  <dc:creator>Osteopathy Board of Australia</dc:creator>
  <cp:keywords>October 2013</cp:keywords>
  <cp:lastModifiedBy>Tara Johnson</cp:lastModifiedBy>
  <cp:revision>2</cp:revision>
  <cp:lastPrinted>2010-10-17T23:49:00Z</cp:lastPrinted>
  <dcterms:created xsi:type="dcterms:W3CDTF">2013-11-04T03:00:00Z</dcterms:created>
  <dcterms:modified xsi:type="dcterms:W3CDTF">2013-11-04T03:00:00Z</dcterms:modified>
</cp:coreProperties>
</file>